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26-TA-347: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Datu pārvaldības stratēģiju 2026. - 2030.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stratēģiju veido pieci rīcības virzieni un daudzi uzdevumi un apapkšuzdevumi. Aicinām pārskatīt visus uzdevumus un mazināt to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Izteiktākais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uzdevuma 3.1. mērķis…: … “radot drošu un regulatīvi kontrolētu vidi datu analītikas un MI risinājumu izstrādei, testēšanai un ieviešanai, nodrošinot atbilstību ES prasībām pārredzamības, ētikas un drošības jomā, kā arī veicinot sadarbību starp valsts pārvaldi, pētniecību un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uzdevuma 3.2. mērķis…: …” izveidojot drošu un regulatīvi kontrolētu datu apstrādes vidi (sandbox režīmu), kas ļauj testēt un attīstīt mākslīgā intelekta un citus datu intensīvus digitālos risinājumus, tostarp augsta riska MI sistēmas, ievērojot MI akta prasības, personas datu aizsardzību un sadarbojoties ar uzraugošajām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ir vairāki punkti par regulējuma optimizēšanu, mazinot birokrātiju. Aicinām pēc iespējas skaidrāk un precīzāk strukturēt stratēģiju.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Zača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“Stratēģijas ieviešanas uzraudzība un izvērtēšana” ir iekļauts ļoti vispārīgs finansiālās ietekmes novērtējums, kuru aicinām izstrādāt detalizētāk, t.sk. sniedzot vairāk skaidrojumu.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 katra no trīs punktiem iekļaut informāciju par to, kuri rīcības virzieni, to uzdevumi tiks finansēti.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Novērtējuma beigās tiek minēts, ka “Jautājums par papildu valsts budžeta līdzekļu piešķiršanu 2027.–2030. gadam ir skatāms gadskārtējā valsts budžeta likumprojekta un vidēja termiņa budžeta ietvara likumprojekta sagatavošanas procesā.” Lūdzam iekļaut precīzu informāciju, kur tiks gūts finansējums, ja, piemēram, valsts budžetā netiks atbalstīta atsevišķu uzdevumu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Zača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rīcības virziens 45 lpp.:  "Izstrādāt grozījumus MK 2017.gada 23.maija noteikumos Nr. 264 “Noteikumi par Profesiju klasifikatoru, profesijai atbilstošiem pamatuzdevumiem un kvalifikācijas pamatprasībām”, paredzot jaunu profesiju iekļaušanu datu pārvaldības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šos ministru kabineta noteikumus virza Labklājības ministrija, nevis Izglītības un zinātnes ministrija. Aicinām arī minēt konkrēti, kādas jaunas profesijas ir nepieciešams iekļaut šajā klasifikatorā vai minēt vismaz profesiju grupu vai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Ivsiņa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rezultatīvo rādītāju formulējumus un veikt to pielīdzināšanu. Piemēram, ir divi rādītāji, kas ir kā uzdevumu: “Identificēt priekšlikumus normatīvā…” un “Izveidot MI datu kopu ilgtermiņa…”.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Zača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1. tabulā ir iekļauts 2026. gadam. Aicinām tekstā vai tabulā skaidrot, vai 2026. gada kolonā iekļautie dati ir aprēķinu bāzes dati (atskaites punkts) vai arī plānotie sasniedzamie. Ja tie ir plānotie sasniedzamie 2026. gada beigās, aicinām iekļaut tabulā arī atskaites datus/rādītājus, attiecībā pret kuriem tad būs iespējams Nacionālajai datu padomei veidot stratēģijas ieviešanas progresa pārskatu, kā tas ir noteikts izvērtējuma metodoloģijā (30.lpp.)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Zača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salāgot stratēģijā izmantoto terminoloģiju. Piemēram, 13. lpp. sākumā esošajā tekstā tiek runāts par datu pārvaldniekiem, bet jau tabulā tiek izmantots jēdziens “datu pārziņi”. 30. lpp. pirmās rindkopas sākumā ir teikts par “izvērtējuma metodoloģiju”, bet pēc tam tālāk – par “izvērtējuma mehānismu”. Ir arī citas terminoloģijas nesaskaņas, kuras būtu novēršamas, lai veidotu vienotu izprati.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Zača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aicinām pārskatīt stratēģiju, novēršot formatējumu neprecizitātes (piemēram, pielīdzinot numerācijas u.tml.) un gramatikas kļūdas (t.sk. pārskatot sarežģīti konstruētu teikumu struktūras).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Zača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pārveidot 1. attēlu, lai tas būtu nolasāms. Jo pat digitālajā formā to palielinot attēlā iekļautā informācija nav nolasāma.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Zača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lpp. aprēķinā minēts, ka Vidējās darbinieka stundas izmaksas valstī – 7 EUR/stundā (ieskaitot darba devēja sociālās nodokļa 24,09 %).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neizpratni, par kāda līmeņa speciālistiem šeit ir veikts aprēķins, un vai šādi netiek maldinātas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Ivsiņa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06.07.2026.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06.07.2026.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Atzinumi_26-TA-347.docx</dc:title>
</cp:coreProperties>
</file>

<file path=docProps/custom.xml><?xml version="1.0" encoding="utf-8"?>
<Properties xmlns="http://schemas.openxmlformats.org/officeDocument/2006/custom-properties" xmlns:vt="http://schemas.openxmlformats.org/officeDocument/2006/docPropsVTypes"/>
</file>