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25-TA-877: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Ekonomiskās ilgtspējas 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Lielo pilsētu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Likumprojekts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1) siltumnīcefekta gāzu emisiju samazināšana vai ierobežošana, pielāgošanās klimata pārmaiņām, arī tādu projektu un finanšu instrumentu finansēšana, kuru mērķis ir: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13. panta 1. daļas 1. apakšpunkta a) un b) apakšpunktos ir lietots identisks formulējums –</w:t>
            </w:r>
            <w:r w:rsidR="00000000" w:rsidRPr="00000000" w:rsidDel="00000000">
              <w:rPr>
                <w:i w:val="1"/>
                <w:rtl w:val="0"/>
              </w:rPr>
              <w:t xml:space="preserve"> "veicināt gandrīz nulles enerģijas ēku būvniecību un paaugstināt ēku, tehnoloģisko iekārtu, elektroapgādes un individuālās un centralizētās siltumapgādes un aukstumapgādes sistēmu energoefektivitāti".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Priekšlikums izvērtēt, vai viens no apakšpunktiem nav lieks, vai arī – ja tie paredz nošķiramu saturu – precizēt formulējumus, lai novērstu iespējamu normatīvu pārklāšanos vai interpretācijas neskaidrību.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Katrīne Luīze Štolca (LLPA) (Jānis Cunskis (LLPA) vietā)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25-TA-877</w:t>
    </w:r>
    <w:r>
      <w:br/>
    </w:r>
    <w:r w:rsidR="00000000" w:rsidRPr="00000000" w:rsidDel="00000000">
      <w:rPr>
        <w:rtl w:val="0"/>
      </w:rPr>
      <w:t xml:space="preserve">Izdrukāts 08.05.2025. 16.17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25-TA-877</w:t>
    </w:r>
    <w:r>
      <w:br/>
    </w:r>
    <w:r w:rsidR="00000000" w:rsidRPr="00000000" w:rsidDel="00000000">
      <w:rPr>
        <w:rtl w:val="0"/>
      </w:rPr>
      <w:t xml:space="preserve">Izdrukāts 08.05.2025. 16.17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Atzinumi_25-TA-877.docx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