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25-TA-2179: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7. maija noteikumos Nr. 284 "Eiropas Savienības kohēzijas politikas programmas 2021.–2027. gadam 2.1.3. specifiskā atbalsta mērķa "Veicināt pielāgošanos klimata pārmaiņām, risku novēršanu un noturību pret katastrofām"  2.1.3.1. pasākuma "Pašvaldību pielāgošanās klimata pārmaiņām" pirmās projektu iesniegumu atlases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Sadarbības partneris – sabiedrisko ūdenssaimniecības pakalpojumu sniedzējs – ar pašvaldību ir noslēdzis pakalpojuma līgumu par sabiedrisko ūdenssaimniecības pakalpojumu sniegšanu. Pakalpojuma līgumā norāda vismaz šādu informāciju: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16.12.2025. Eiropas Komisija ir pieņēmusi jaunu komercdarbības atbalsta regulējumu -  Komisijas lēmumu par Līguma par Eiropas Savienības darbību 106. panta 2. punkta piemērošanu valsts atbalstam attiecībā uz kompensāciju par sabiedriskajiem pakalpojumiem dažiem uzņēmumiem, kuriem uzticēts sniegt pakalpojumus ar vispārēju tautsaimniecisku nozīmi, un ar ko atceļ Lēmumu 2012/21/ES, kas atbilstoši tā 11. pantam stājas spēkā divdesmitajā dienā pēc tā publicēšanas Eiropas Savienības Oficiālajā Vēstnesī, lūdzam izvērtēt grozījumu veikšanas nepieciešamību šajos noteikumos attiecībā uz otro kārtu.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Kreicberga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36.7. un sadarbības partneris (ja attiecināms) nodrošina interešu konflikta neesību saskaņā ar Eiropas Parlamenta un Padomes 2018. gada 18. jūlija Regulas (ES, Euratom) Nr.  </w:t>
            </w:r>
            <w:r w:rsidR="00000000" w:rsidRPr="00000000" w:rsidDel="00000000">
              <w:rPr>
                <w:rtl w:val="0"/>
              </w:rPr>
              <w:t xml:space="preserve">2018/1046</w:t>
            </w:r>
            <w:r w:rsidR="00000000" w:rsidRPr="00000000" w:rsidDel="00000000">
              <w:rPr>
                <w:rtl w:val="0"/>
              </w:rPr>
              <w:t xml:space="preserve"> par finanšu noteikumiem, ko piemēro Savienības vispārējam budžetam, ar kuru groza Regulas (ES) Nr.  </w:t>
            </w:r>
            <w:r w:rsidR="00000000" w:rsidRPr="00000000" w:rsidDel="00000000">
              <w:rPr>
                <w:rtl w:val="0"/>
              </w:rPr>
              <w:t xml:space="preserve">1296/2013</w:t>
            </w:r>
            <w:r w:rsidR="00000000" w:rsidRPr="00000000" w:rsidDel="00000000">
              <w:rPr>
                <w:rtl w:val="0"/>
              </w:rPr>
              <w:t xml:space="preserve">, (ES) Nr.  </w:t>
            </w:r>
            <w:r w:rsidR="00000000" w:rsidRPr="00000000" w:rsidDel="00000000">
              <w:rPr>
                <w:rtl w:val="0"/>
              </w:rPr>
              <w:t xml:space="preserve">1301/2013</w:t>
            </w:r>
            <w:r w:rsidR="00000000" w:rsidRPr="00000000" w:rsidDel="00000000">
              <w:rPr>
                <w:rtl w:val="0"/>
              </w:rPr>
              <w:t xml:space="preserve">, (ES) Nr.  </w:t>
            </w:r>
            <w:r w:rsidR="00000000" w:rsidRPr="00000000" w:rsidDel="00000000">
              <w:rPr>
                <w:rtl w:val="0"/>
              </w:rPr>
              <w:t xml:space="preserve">1303/2013</w:t>
            </w:r>
            <w:r w:rsidR="00000000" w:rsidRPr="00000000" w:rsidDel="00000000">
              <w:rPr>
                <w:rtl w:val="0"/>
              </w:rPr>
              <w:t xml:space="preserve">, (ES) Nr.  </w:t>
            </w:r>
            <w:r w:rsidR="00000000" w:rsidRPr="00000000" w:rsidDel="00000000">
              <w:rPr>
                <w:rtl w:val="0"/>
              </w:rPr>
              <w:t xml:space="preserve">1304/2013</w:t>
            </w:r>
            <w:r w:rsidR="00000000" w:rsidRPr="00000000" w:rsidDel="00000000">
              <w:rPr>
                <w:rtl w:val="0"/>
              </w:rPr>
              <w:t xml:space="preserve">, (ES) Nr.  </w:t>
            </w:r>
            <w:r w:rsidR="00000000" w:rsidRPr="00000000" w:rsidDel="00000000">
              <w:rPr>
                <w:rtl w:val="0"/>
              </w:rPr>
              <w:t xml:space="preserve">1309/2013</w:t>
            </w:r>
            <w:r w:rsidR="00000000" w:rsidRPr="00000000" w:rsidDel="00000000">
              <w:rPr>
                <w:rtl w:val="0"/>
              </w:rPr>
              <w:t xml:space="preserve">, (ES) Nr.  </w:t>
            </w:r>
            <w:r w:rsidR="00000000" w:rsidRPr="00000000" w:rsidDel="00000000">
              <w:rPr>
                <w:rtl w:val="0"/>
              </w:rPr>
              <w:t xml:space="preserve">1316/2013</w:t>
            </w:r>
            <w:r w:rsidR="00000000" w:rsidRPr="00000000" w:rsidDel="00000000">
              <w:rPr>
                <w:rtl w:val="0"/>
              </w:rPr>
              <w:t xml:space="preserve">, (ES) Nr.  </w:t>
            </w:r>
            <w:r w:rsidR="00000000" w:rsidRPr="00000000" w:rsidDel="00000000">
              <w:rPr>
                <w:rtl w:val="0"/>
              </w:rPr>
              <w:t xml:space="preserve">223/2014</w:t>
            </w:r>
            <w:r w:rsidR="00000000" w:rsidRPr="00000000" w:rsidDel="00000000">
              <w:rPr>
                <w:rtl w:val="0"/>
              </w:rPr>
              <w:t xml:space="preserve">, (ES) Nr.  </w:t>
            </w:r>
            <w:r w:rsidR="00000000" w:rsidRPr="00000000" w:rsidDel="00000000">
              <w:rPr>
                <w:rtl w:val="0"/>
              </w:rPr>
              <w:t xml:space="preserve">283/2014</w:t>
            </w:r>
            <w:r w:rsidR="00000000" w:rsidRPr="00000000" w:rsidDel="00000000">
              <w:rPr>
                <w:rtl w:val="0"/>
              </w:rPr>
              <w:t xml:space="preserve"> un Lēmumu Nr. 541/2014/ES un atceļ Regulu (ES, Euratom) Nr. 966/2012, 61. panta un publiskos iepirkumus regulējošo normatīvo aktu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anotācijas 1.3.sadaļā sniegto informāciju, lūdzam papildināt noteikumu projektu ar jaunu punktu, kas paredz svītrot  noteikumu 36.7. apakšpunktā atsauci uz Eiropas Parlamenta un Padomes 2018. gada 18. jūlija Regulas (ES, Euratom) Nr. 2018/1046 par finanšu noteikumiem, ko piemēro Savienības vispārējam budžetam, ar kuru groza Regulas (ES) Nr. 1296/2013, (ES) Nr. 1301/2013, (ES) Nr. 1303/2013, (ES) Nr. 1304/2013, (ES) Nr. 1309/2013, (ES) Nr. 1316/2013, (ES) Nr. 223/2014, (ES) Nr. 283/2014 un Lēmumu Nr. 541/2014/ES un atceļ Regulu (ES, Euratom) Nr. 966/2012, 61. pantu, ņemot vērā to, ka minētās regulas 61.pants, kā arī šobrīd tās vietā spēkā esošās Eiropas Parlamenta un Padomes 2024. gada 23. septembra Regulas (ES, Euratom) 2024/2509 par finanšu noteikumiem, ko piemēro Savienības vispārējam budžetam (pārstrādātā redakcija) 61.panta prasības ir tieši piemērojamas tādiem projektiem, kas saistīti ar Eiropas Savienības (ES) fondu atbalsta saņemšanu un vienlaikus kuros atbilstoši specifiskā atbalsta mērķim finansējuma saņēmējs atlases kārtībā ES fondu dalībniekiem, gala saņēmējiem vai sadarbības partneriem sniedz finansiālu atbalstu (t.s. daudzpakāpju projekti).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Mežale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25-TA-2179</w:t>
    </w:r>
    <w:r>
      <w:br/>
    </w:r>
    <w:r w:rsidR="00000000" w:rsidRPr="00000000" w:rsidDel="00000000">
      <w:rPr>
        <w:rtl w:val="0"/>
      </w:rPr>
      <w:t xml:space="preserve">Izdrukāts 05.01.2026. 10.27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25-TA-2179</w:t>
    </w:r>
    <w:r>
      <w:br/>
    </w:r>
    <w:r w:rsidR="00000000" w:rsidRPr="00000000" w:rsidDel="00000000">
      <w:rPr>
        <w:rtl w:val="0"/>
      </w:rPr>
      <w:t xml:space="preserve">Izdrukāts 05.01.2026. 10.27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Atzinumi_25-TA-2179.docx</dc:title>
</cp:coreProperties>
</file>

<file path=docProps/custom.xml><?xml version="1.0" encoding="utf-8"?>
<Properties xmlns="http://schemas.openxmlformats.org/officeDocument/2006/custom-properties" xmlns:vt="http://schemas.openxmlformats.org/officeDocument/2006/docPropsVTypes"/>
</file>