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 rezultātu vērsta budžeta veidošanas un attīstības virzieniem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12.03.2025.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12.03.2025.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