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ministrija norāda, ka papildu finansējums jaunas pieejas finansēšanā tiek plānots tikai no 2025.gada 1.septembra un turpinās valsts budžeta izstrāde, konkrēto noteikumu izstrādes procesā nepieciešams izvērtēt šo noteikumu ietekmi attiecībā uz visu pedagogu darba pienākumu specifiku. Darba devēji norāda, ka esošā redakcija var būtiski ietekmēt STEM interešu izglītības pieejamību, līdz ar to darba devēji aicina turpināt noteikumu izstrādes konsultāciju procesu par interešu izglītības pedagogu darba samaksas veidošanas principiem un pārējām pedagogu grupām.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18.06.2024. 22.43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18.06.2024. 22.43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Atzinumi_24-TA-685.docx</dc:title>
</cp:coreProperties>
</file>

<file path=docProps/custom.xml><?xml version="1.0" encoding="utf-8"?>
<Properties xmlns="http://schemas.openxmlformats.org/officeDocument/2006/custom-properties" xmlns:vt="http://schemas.openxmlformats.org/officeDocument/2006/docPropsVTypes"/>
</file>