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(Tieslietu ministrijas 2024.gada 10.janvāra e pasts)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noteikumu grozījumos vairs nav ietverta norma, kas nosaka, ka  nepieciešams vispirms vērsties pie cita finansētāja finansējuma saņemšanai un saņemt atteikumu aizdevuma piešķiršanai, ja komersants vēlas saņemt atbalstu sabiedrībā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projektu pieteiks ALTUM, to finansēs ALTUM. Turklāt, citi iespējamie finansētāji nebūs informēti par projekta pieprasījumu un iespēju to 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anotācijā kā pamatojumu atteikuma nesaņemšanai norāda Ministru Kabineta Izaugsmes, konkurētspējas un produktivitātes (IKP) tematiskās komitejas 2023.gada 17. augusta sēdes lēmumu. Diemžēl, ne pašā noteikumu projektā, ne to anotācijā nav ietverta informācija par minētās komitejas pilnvarām (mandātu), kā arī to, vai šīs komitejas lēmumi ir ārēji saistoši trešajām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procesa caurskatāmību, lūdzam finansēšanas kārtības izmaiņas, kas nosaka, ka nevajag vērsties pie cita finansētāja finansējuma saņemšanai un saņemt atteikumu aizdevuma piešķiršanai ALTUM, iekļaut ministru kabineta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nav norādīts, cik no 243 projektiem šobrīd ir finansēti ar banku (citu privātu) finansējumu, kā arī, cik ir finansējis ALTUM. Lūdzam rast iespēju šo informāciju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29.01.2024.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29.01.2024.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