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22-TA-2838: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 – 2027. gadam 4.2.2. specifiskā atbalsta mērķa "Uzlabot izglītības un mācību sistēmu kvalitāti, iekļautību, efektivitāti un nozīmīgumu darba tirgū, tostarp ar neformālās un ikdienējās mācīšanās validēšanas palīdzību, lai atbalstītu pamatkompetenču, tostarp uzņēmējdarbības un digitālo prasmju, apguvi, un sekmējot duālo mācību sistēmu un māceklības ieviešanu" 4.2.2.9. pasākuma "Izglītības procesa individualizācija un starpnozaru sadarbība profesionālās izglītības izcilībai" pirmās projekta iesniegumu atlases kārtas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06.07.2023.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06.07.2023.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20.1.1. projekta vadības personāla atlīdzības izmaksas (izņemot virsstundas) šo noteikumu </w:t>
            </w:r>
            <w:r w:rsidR="00000000" w:rsidRPr="00000000" w:rsidDel="00000000">
              <w:rPr>
                <w:rtl w:val="0"/>
              </w:rPr>
              <w:t xml:space="preserve">18.6.</w:t>
            </w:r>
            <w:r w:rsidR="00000000" w:rsidRPr="00000000" w:rsidDel="00000000">
              <w:rPr>
                <w:rtl w:val="0"/>
              </w:rPr>
              <w:t xml:space="preserve">, </w:t>
            </w:r>
            <w:r w:rsidR="00000000" w:rsidRPr="00000000" w:rsidDel="00000000">
              <w:rPr>
                <w:rtl w:val="0"/>
              </w:rPr>
              <w:t xml:space="preserve">18.7.</w:t>
            </w:r>
            <w:r w:rsidR="00000000" w:rsidRPr="00000000" w:rsidDel="00000000">
              <w:rPr>
                <w:rtl w:val="0"/>
              </w:rPr>
              <w:t xml:space="preserve"> un </w:t>
            </w:r>
            <w:r w:rsidR="00000000" w:rsidRPr="00000000" w:rsidDel="00000000">
              <w:rPr>
                <w:rtl w:val="0"/>
              </w:rPr>
              <w:t xml:space="preserve">18.8. </w:t>
            </w:r>
            <w:r w:rsidR="00000000" w:rsidRPr="00000000" w:rsidDel="00000000">
              <w:rPr>
                <w:rtl w:val="0"/>
              </w:rPr>
              <w:t xml:space="preserve">apakšpunktā</w:t>
            </w:r>
            <w:r w:rsidR="00000000" w:rsidRPr="00000000" w:rsidDel="00000000">
              <w:rPr>
                <w:rtl w:val="0"/>
              </w:rPr>
              <w:t xml:space="preserve"> minēto atbalstāmo darbību īstenošanai;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skaidrot, kāpēc no MK noteikumu projekta dzēsts nosacījums par projekta vadības un īstenošanas personāla izmaksu segšanu, izmantojot vienkāršoto izmaksu iespējas. Vēršam uzmanību, ka anotācijā (18.lpp.) sniegtais skaidrojums nav pietiekams pamatojums vienkāršoto izmaksu nepiemērošanai, tāpēc lūdzam Izglītības un zinātnes ministriju kā atbildīgo iestādi nodrošināt, ka projekta personāla vadības un īstenošanas personāla izmaksas tiek segtas izmantojot vienkāršoto izmaksu piemērošanas iespējas, piemēram, izstrādājot vienas vienības izmaksu metodiku.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Edgars Zandbergs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20.2.2. jaunradītu darba vietu aprīkojuma, tai skaitā biroja mēbeļu un tehnikas, datorprogrammu un licences iegādes vai nomas izmaksas, aprīkojuma uzturēšanas un remonta izmaksas, vai esošo darba vietu atjaunošanas izmaksas, ja esošo darba vietu aprīkojums ir nolietojies un tiek norakstīts, ne vairāk kā 3 000 </w:t>
            </w:r>
            <w:r w:rsidR="00000000" w:rsidRPr="00000000" w:rsidDel="00000000">
              <w:rPr>
                <w:i w:val="1"/>
                <w:rtl w:val="0"/>
              </w:rPr>
              <w:t xml:space="preserve">euro</w:t>
            </w:r>
            <w:r w:rsidR="00000000" w:rsidRPr="00000000" w:rsidDel="00000000">
              <w:rPr>
                <w:rtl w:val="0"/>
              </w:rPr>
              <w:t xml:space="preserve"> vienai darba vietai visā projekta īstenošanas laikā, ja finansējuma saņēmēja projekta vadības vai īstenošanas personāls ir nodarbināts projektā uz darba līguma pamata. Ja personāls ir nodarbināts normālu darba laiku, darba vietas aprīkojuma iegādes vai nomas izmaksas ir attiecināmas 100 procentu apmērā. Ja personāls ir nodarbināts nepilnu darba laiku vai saskaņā ar daļlaika attiecināmības principu, darba vietas aprīkojuma iegādes vai nomas izmaksas ir attiecināmas proporcionāli darba slodzes procentuālajam sadalījumam;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iepriekš Finanšu ministrijas atzinumā tika sniegts iebildums attiecībā uz personālu, kas nodarbināts projektā saskaņā ar daļlaika attiecināmības principu. Izziņā sniegta informācija, ka tas ņemts vērā, taču pēc būtības, izskatot veiktos precizējumus, Finanšu ministrija secināja, ka iepriekš minētais iebildums ir daļēji ņemts vērā. Līdz ar to atkārtoti lūdzam precizēt MK noteikumu attiecīgo apakšpunktu, ka daļlaika izmaksu attiecināšanas principa gadījumā jāņem vērā darbinieka iesaistes periods projektā pret projekta kopējo īstenošanas ilgumu.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20.2.2. jaunradītu darba vietu aprīkojuma, tai skaitā biroja mēbeļu un tehnikas, datorprogrammu un licences iegādes vai nomas izmaksas, aprīkojuma uzturēšanas un remonta izmaksas, vai esošo darba vietu atjaunošanas izmaksas, ja esošo darba vietu aprīkojums ir nolietojies un tiek norakstīts, ne vairāk kā 3 000 euro vienai darba vietai visā projekta īstenošanas laikā, ja finansējuma saņēmēja projekta vadības vai īstenošanas personāls ir nodarbināts projektā uz darba līguma pamata. Ja personāls ir nodarbināts normālu darba laiku, darba vietas aprīkojuma iegādes vai nomas izmaksas ir attiecināmas 100 procentu apmērā. Ja personāls ir nodarbināts nepilnu darba laiku, darba vietas aprīkojuma iegādes vai nomas izmaksas ir attiecināmas proporcionāli darba slodzes procentuālajam sadalījumam. Ja personāls ir nodarbināts saskaņā ar daļlaika attiecināmības principu darba vietas aprīkojuma iegādes vai nomas izmaksas ir attiecināmas proporcionāli darba slodzes procentuālajam sadalījumam un ņemot vērā darbinieka iesaistes periodu projektā pret projekta kopējo īstenošanas ilgumu; </w:t>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Edgars Zandbergs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anotācijas 1.3. punktā "Pašreizējā situācija, problēmas un risinājumi, risinājuma apraksts" sniegto informāciju, ka projektā sasniegto rezultātu ilgtspēju pēc projekta noslēguma plānots nodrošināt no Valsts izglītības satura centra valsts budžeta līdzekļiem, lūdzam papildināt šo sadaļu, norādot konkrētu finansējuma avotu.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Barkovska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anotācijā dzēst informāciju, kas nav saistīta ar vienkāršoto izmaksu metodikas izstrādes un piemērošanas iespējām, piemēram, atlīdzības reforma vai projekta ieviesēja un sadarbības partneru juridiskais statuss nav pamatots arguments, lai apgalvotu, ka vienkāršoto izmaksu metodikas izstrāde palielinātu administratīvo slogu un nebūtu samērīga. Valstī noteiktā horizontālā atlīdzības politika valsts un pašvaldību institūcijās var kalpot par pamatu, lai izstrādātu metodiku personāla izmaksām.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Artūrs Pētersons (FM) (Kristaps Konrāds (FM) vietā)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sniegto informāciju anotācijā par izmaksu metodēm MK noteikumu projekta18.punktā noteikto atbalstāmo darbību īstenošanai, t.sk. vairākkārt minēts attiecināt izmaksas atbilstoši vienas vienības izmaksu metodei, lūgums papildināt anotāciju ar informāciju par to, cik kopumā ir plānotas izstrādāt vienkāršoto izmaksu metodikas, jo šobrīd no anotācijā minētā nav iespējams to secināt.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Edgars Zandbergs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3.sadaļu ar detalizētiem aprēķiniem, kas pamato nepieciešamo finansējuma apmēru 2023. gadam līdz vienošanās par projekta īstenošanu noslēgšanai ar Centrālo finanšu un līgumu aģentūru 4.2.2.9. pasākuma pirmās projekta iesniegumu atlases kārtas īstenošanai.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Barkovska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Projekta iesniedzējam ir pienākums projekta iesniegumā pamatot sadarbības partneru izvēli, norādot konkrēto sadarbības partneru iesaistes mehānismu, nepieciešamību un to kompetences atbilstību plānotajām atbalstāmajām darbībām. Projekta iesniedzējs projekta iesniegumam pievieno sadarbības partnera apliecinājumu par gatavību piedalīties projekta īstenošanā.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MK noteikumu projektā jau  ir noteikts projekta sadarbības partneru loks un ir noteikti katra sadarbības partnera pienākumi,  lūdzam izvērtēt iespēju dzēst prasību projekta  iesniedzējam pamatot sadarbības partneru izvēli, norādot konkrēto sadarbības partneru iesaistes mehānismu, nepieciešamību un to kompetences atbilstību plānotajām atbalstāmajām darbībām. Ja minēta prasība attiecās uz  MK noteikumu projekta 11.5.apakšpunktā noteiktajiem sadarbības partneriem , lūdzam attiecīgi precizēt noteikumu punktu.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Viktorija Boboviča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15.3. projekta maksājumu pieprasījumu un projekta grozījumu sagatavošana un iesniegšana, tai skaitā datu pilnīguma un atbilstības pārbaude;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svītrot vārdu "projekta" pirms vārdiem "maksājumu pieprasījumu".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Gundega Morgana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18.8. informācijas un publicitātes pasākumi par projekta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vadošās iestādes 2023. gada 30.maija vadlīniju 1.4. "Vadlīnijas Ministru kabineta noteikumu par specifiskā atbalsta mērķa īstenošanu izstrādei Eiropas Savienības fondu 2021.—2027. gada plānošanas periodā" 31.punktā lietoto jēdzienu "komunikācijas un vizuālās identitātes prasību nodrošināšanas nosacījumi" , aicinām izvērtēt un pēc nepieciešamības precizēt noteikumu projekta 18.8.apakšpunktu, kā arī 20.2.13.apakšpunktu.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Gundega Morgana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Šo noteikumu </w:t>
            </w:r>
            <w:r w:rsidR="00000000" w:rsidRPr="00000000" w:rsidDel="00000000">
              <w:rPr>
                <w:rtl w:val="0"/>
              </w:rPr>
              <w:t xml:space="preserve">19.3. </w:t>
            </w:r>
            <w:r w:rsidR="00000000" w:rsidRPr="00000000" w:rsidDel="00000000">
              <w:rPr>
                <w:rtl w:val="0"/>
              </w:rPr>
              <w:t xml:space="preserve">apakšpunktā</w:t>
            </w:r>
            <w:r w:rsidR="00000000" w:rsidRPr="00000000" w:rsidDel="00000000">
              <w:rPr>
                <w:rtl w:val="0"/>
              </w:rPr>
              <w:t xml:space="preserve"> minētos neparedzētos izdevumus (izdevumi papildu darbu veikšanai vai pakalpojumu sniegšanai, kas neparedzamu apstākļu dēļ ir kļuvuši nepieciešami noslēgtās vienošanās izpildes nodrošināšanai) projektā plāno kā vienu izdevumu pozīciju, un tie nepārsniedz divus procentus no projekta tiešajām attiecināmajām izmaksām. Neparedzēto izdevumu izlietošanu finansējuma saņēmējs saskaņo ar sadarbības iestādi kārtībā, ko nosaka vienošanās.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nepārprotamu tiesību normu piemērošanu, aicinām izvērtēt, vai 24.punktā būtu lietojams vārds "vienošanās" vai "vienošanās par projekta īstenošanu" un nepieciešamības gadījumā atbilstoši precizēt.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Gundega Morgana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34.1.1. izskata projekta īstenotāja iesniegtos pārskatus par projekta īstenošanas gaitu, tai skaitā sasniegto rezultātu progresu, saturisko kvalitāti un ilgtspēju, kā arī atbilstību projekta mērķim un sniedz ieteikumus projekta īstenotājam;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34.1.1., 34.1.2., 34.2.4.apakšpunktā aizstāt "projekta īstenotājs" ar vārdiem "finansējuma saņēmējs", lai nodrošinātu atbilstošu ES fondu terminoloģijas lietojumu.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Gundega Morgana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 Finansējuma saņēmējs nodrošina informācijas un publicitātes pasākumus saskaņā ar Eiropas Parlamenta un Padomes 2021. gada 24. jūnija Regulas (ES) Nr. 2021/1060 47. pantu un 50. pantu un Kārtību, kādā Eiropas Savienības fondu vadībā iesaistītās institūcijas nodrošina šo fondu ieviešanu 2021.–2027.gada plānošanas periodā, kā arī Eiropas Savienības fondu 2021.–2027. gada plānošanas perioda un Atveseļošanas fonda komunikācijas un dizaina vadlīnijām.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vadošās iestādes 2023. gada 30.maija vadlīniju 1.4. "Vadlīnijas Ministru kabineta noteikumu par specifiskā atbalsta mērķa īstenošanu izstrādei Eiropas Savienības fondu 2021.—2027. gada plānošanas periodā" 31.punktā lietoto jēdzienu "komunikācijas un vizuālās identitātes prasību nodrošināšanas nosacījumi", aicinām precizēt  noteikumu projekta 40.punktu. Vienlaikus lūdzam papildināt pirms vārda "kārtību" ar vārdiem "normatīvo aktu par ", lai ievērotu juridiskās tehnikas prasības.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Gundega Morgana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22-TA-2838</w:t>
    </w:r>
    <w:r>
      <w:br/>
    </w:r>
    <w:r w:rsidR="00000000" w:rsidRPr="00000000" w:rsidDel="00000000">
      <w:rPr>
        <w:rtl w:val="0"/>
      </w:rPr>
      <w:t xml:space="preserve">Izdrukāts 06.07.2023. 14.50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22-TA-2838</w:t>
    </w:r>
    <w:r>
      <w:br/>
    </w:r>
    <w:r w:rsidR="00000000" w:rsidRPr="00000000" w:rsidDel="00000000">
      <w:rPr>
        <w:rtl w:val="0"/>
      </w:rPr>
      <w:t xml:space="preserve">Izdrukāts 06.07.2023. 14.50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Atzinumi_22-TA-2838.docx</dc:title>
</cp:coreProperties>
</file>

<file path=docProps/custom.xml><?xml version="1.0" encoding="utf-8"?>
<Properties xmlns="http://schemas.openxmlformats.org/officeDocument/2006/custom-properties" xmlns:vt="http://schemas.openxmlformats.org/officeDocument/2006/docPropsVTypes"/>
</file>