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finansēšanas un administrēšanas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aprūpes vispārējās valdības sektora [Eiropas Parlamenta un Padomes 2013. gada 21. maija regulas (ES) Nr. 549/2013 par Eiropas nacionālo un reģionālo kontu sistēmu Eiropas Savienībā (Dokuments attiecas uz EEZ) A pielikuma 2.113. punkta izpratnē] finansējums veido vismaz četrus procentus no iekšzemes kopprodukta. Finansējums nedrīkst būt mazāks kā iepriekšējā gadā, izņemot to finansējumu, kas piešķirts uz noteiktu laiku specifiskam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Plašas diskusijas par publiskā finansējuma daļu ir bijis ļoti aktuāls jautājums jau ilgstoši. Uz finansējuma trūkumu norāda arī starptautiskās organizācijas, par ko liecina arī augstie pacientu līdzmaksājumi [1]. Veselības aprūpes vīzija un sasniedzamie mērķi šobrīd ir iekļauti Sabiedrības veselības pamatnostādnēs 2021.-2027.gadam (turpmāk- pamatnostādnes). Atbilstoši pamatnostādnēm veselības aprūpes budžetam 2027.gadā būtu jāsasniedz 6% no IKP. BRAL biedru ieskatā veselība ir ļoti nozīmīgs valsts drošības aspekts. Ja arī turpmāk Latvijā finansējums veselības aprūpei būs krietni zemāks gan kā kaimiņvalstīs, gan Eiropas valstīs kopumā, mūsu iedzīvotāju veselības rādītāji un arī pakalpojumu pieejamības nevienlīdzība pieaugs un radīs arī papildu slogu uz sociālo budžetu. Lūdzam pārskatīt likumprojekta 4.panta otro daļu, nosakot, ka finansējuma apjoms līdz 2027.gadam jāsasniedz 6% no IKP apmērā, kā to paredz Sabiedrības veselības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 Valsts veselības profils 2023 https://health.ec.europa.eu/system/files/2024-01/2023_chp_lv_latvian.pdf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"vismaz četrus procentus" ar vārdiem "vismaz sešus procentus", izsakot 4.panta otro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vispārējās valdības sektora [Eiropas Parlamenta un Padomes 2013. gada 21. maija regulas (ES) Nr. 549/2013 par Eiropas nacionālo un reģionālo kontu sistēmu Eiropas Savienībā (Dokuments attiecas uz EEZ) A pielikuma 2.113. punkta izpratnē] finansējums veido vismaz sešus procentus no iekšzemes kopprodukta. Finansējums nedrīkst būt mazāks kā iepriekšējā gadā, izņemot to finansējumu, kas piešķirts uz noteiktu laiku specifiskam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17.12.2024. 21.33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17.12.2024. 21.33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Atzinumi_24-TA-2759.docx</dc:title>
</cp:coreProperties>
</file>

<file path=docProps/custom.xml><?xml version="1.0" encoding="utf-8"?>
<Properties xmlns="http://schemas.openxmlformats.org/officeDocument/2006/custom-properties" xmlns:vt="http://schemas.openxmlformats.org/officeDocument/2006/docPropsVTypes"/>
</file>