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notikumu projektu un anotāciju, ievērojot, ka Centrālajai finanšu un līgumu aģentūrai (CFLA ) kā sadarbības iestādei nav līgumsaistību ar sadarbības partneriem. Par projekta īstenošanas laikā sasniegto rezultātu ilgtspēju ir atbildīgs finansējuma saņēmējs. Ja pēc projekta īstenošanas beigām  ilgtspējas nodrošināšanai ir nepieciešams pēcuzraudzības periods, lūdzam šo pienākumu finansējuma saņēmējam un perioda ilgumu paredzēt MK noteikumos, savukārt, anotācijā precīzi definēt iesaistīto pušu darbības, to ilgumu, kā arī rīcības, kas veicamas, ja ilgtspēja netiek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25.13.2. projekta īstenošanas personāla izmaksas, ieskaitot piemaksas, pabalstus un citas darbinieku atlīdzības izmaksas (izņemot virsstundas), šo noteikumu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25.13.2.apakšpunktā noteikt, ka projekta īstenošanas personāla izmaksas attiecas uz finansējuma saņēmēja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35.6.3. iniciatīvu projektu iesniegumu vērtēšanai izveido neatkarīgu ekspertu komisiju vai arī organizē sava pārstāvja piedalīšanos novērotāja statusā, ja nepieciešams - izlases kārtībā, pašvaldību izveidotās iniciatīvu projektu iesniegumu vērtēšanas komisijās;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izziņas 15.punktā norādīto iebildumu par potenciālo interešu konflikta risku attiecībā uz jaunatnes iniciatīvu projektu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minētās Revīzijas iestādes rekomendācijas un augsto interešu konflikta risku gadījumā, ja iniciatīvu projektu atlasi un vērtēšanu veic sadarbības partneris - pašvaldība (nelielas kopienas un savstarpēja saistība - NVO/pašvaldība/izglītības iestāde), aicinām pilnībā izslēgt sadarbības partneri - pašvaldību no vērtēšanas procesa, atstājot to tikai finansējuma saņēmēja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26.lpp ar informāciju, no kāda finansējuma avota tiks nodrošināta projekta ietvaros izstrādātā interaktīvā atbalsta platformas uzturēšana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apakšsadaļu "Cita informācija" ar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4.2.3.1.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detalizētiem aprēķiniem nepieciešamajam finansējumam 431 287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5.punkta apakšpunktos, 35.2.punktā sniegto informāciju un anotācijā minēto. Piemēram, projekta iesniedzējs projekta iesniegumā paredz projekta īstenošanā iesaistīt vismaz 3 valsts un valsts augstskolu dibinātas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izglītojamo skaits, kuri saņēmuši individualizētu atbalstu – kumulatīva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ir zināmas provizoriskas aplēses tam, cik izglītojamo varētu iesaistīties 4.2.3.1.pasākuma “Integrēta "skola-kopiena" sadarbības programma atstumtības riska mazināšanai izglītības iestādēs” aktivitātēs, it īpaši ņemot vērā Eiropas Savienības struktūrfondu un Kohēzijas fonda 2014.–2020. gada plānošanas perioda Eiropas Sociālā fonda projektā Nr.8.3.4.0/16/I/001 “Atbalsts priekšlaicīgas mācību pārtraukšanas samazināšanai” gūto pieredzi un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kopējais attiecināmais finansējums ir 23 490 000 </w:t>
            </w:r>
            <w:r w:rsidR="00000000" w:rsidRPr="00000000" w:rsidDel="00000000">
              <w:rPr>
                <w:i w:val="1"/>
                <w:rtl w:val="0"/>
              </w:rPr>
              <w:t xml:space="preserve">euro</w:t>
            </w:r>
            <w:r w:rsidR="00000000" w:rsidRPr="00000000" w:rsidDel="00000000">
              <w:rPr>
                <w:rtl w:val="0"/>
              </w:rPr>
              <w:t xml:space="preserve"> (tai skaitā elastības finansējums – 7 538 110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w:t>
            </w:r>
            <w:r w:rsidR="00000000" w:rsidRPr="00000000" w:rsidDel="00000000">
              <w:rPr>
                <w:rtl w:val="0"/>
              </w:rPr>
              <w:t xml:space="preserve"> (tai skaitā elastības finansējums –  6 407 394 </w:t>
            </w:r>
            <w:r w:rsidR="00000000" w:rsidRPr="00000000" w:rsidDel="00000000">
              <w:rPr>
                <w:i w:val="1"/>
                <w:rtl w:val="0"/>
              </w:rPr>
              <w:t xml:space="preserve">euro</w:t>
            </w:r>
            <w:r w:rsidR="00000000" w:rsidRPr="00000000" w:rsidDel="00000000">
              <w:rPr>
                <w:rtl w:val="0"/>
              </w:rPr>
              <w:t xml:space="preserve">) un valsts budžeta finansējums – 3 523 500 </w:t>
            </w:r>
            <w:r w:rsidR="00000000" w:rsidRPr="00000000" w:rsidDel="00000000">
              <w:rPr>
                <w:i w:val="1"/>
                <w:rtl w:val="0"/>
              </w:rPr>
              <w:t xml:space="preserve">euro</w:t>
            </w:r>
            <w:r w:rsidR="00000000" w:rsidRPr="00000000" w:rsidDel="00000000">
              <w:rPr>
                <w:rtl w:val="0"/>
              </w:rPr>
              <w:t xml:space="preserve"> (tai skaitā elastības finansējums – 1 130 716 </w:t>
            </w:r>
            <w:r w:rsidR="00000000" w:rsidRPr="00000000" w:rsidDel="00000000">
              <w:rPr>
                <w:i w:val="1"/>
                <w:rtl w:val="0"/>
              </w:rPr>
              <w:t xml:space="preserve">euro</w:t>
            </w:r>
            <w:r w:rsidR="00000000" w:rsidRPr="00000000" w:rsidDel="00000000">
              <w:rPr>
                <w:rtl w:val="0"/>
              </w:rPr>
              <w:t xml:space="preserve">). Pasākumam pieejamais kopējais attiecināmais finansējums ir 15 951 890 </w:t>
            </w:r>
            <w:r w:rsidR="00000000" w:rsidRPr="00000000" w:rsidDel="00000000">
              <w:rPr>
                <w:i w:val="1"/>
                <w:rtl w:val="0"/>
              </w:rPr>
              <w:t xml:space="preserve">euro</w:t>
            </w:r>
            <w:r w:rsidR="00000000" w:rsidRPr="00000000" w:rsidDel="00000000">
              <w:rPr>
                <w:rtl w:val="0"/>
              </w:rPr>
              <w:t xml:space="preserve">, tai skaitā Eiropas Sociālā fonda Plus finansējums – 13 559 106 </w:t>
            </w:r>
            <w:r w:rsidR="00000000" w:rsidRPr="00000000" w:rsidDel="00000000">
              <w:rPr>
                <w:i w:val="1"/>
                <w:rtl w:val="0"/>
              </w:rPr>
              <w:t xml:space="preserve">euro</w:t>
            </w:r>
            <w:r w:rsidR="00000000" w:rsidRPr="00000000" w:rsidDel="00000000">
              <w:rPr>
                <w:rtl w:val="0"/>
              </w:rPr>
              <w:t xml:space="preserve"> un valsts budžeta finansējums – 2 392 784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8.punktu. Attiecīgi lūdzam precizēt arī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euro (</w:t>
            </w:r>
            <w:r w:rsidR="00000000" w:rsidRPr="00000000" w:rsidDel="00000000">
              <w:rPr>
                <w:b w:val="1"/>
                <w:rtl w:val="0"/>
              </w:rPr>
              <w:t xml:space="preserve">no tā</w:t>
            </w:r>
            <w:r w:rsidR="00000000" w:rsidRPr="00000000" w:rsidDel="00000000">
              <w:rPr>
                <w:rtl w:val="0"/>
              </w:rPr>
              <w:t xml:space="preserve"> elastības finansējums – 7 538 110  euro), tai skaitā ESF+ finansējums – 19 966 500 euro (</w:t>
            </w:r>
            <w:r w:rsidR="00000000" w:rsidRPr="00000000" w:rsidDel="00000000">
              <w:rPr>
                <w:b w:val="1"/>
                <w:rtl w:val="0"/>
              </w:rPr>
              <w:t xml:space="preserve">no tā </w:t>
            </w:r>
            <w:r w:rsidR="00000000" w:rsidRPr="00000000" w:rsidDel="00000000">
              <w:rPr>
                <w:rtl w:val="0"/>
              </w:rPr>
              <w:t xml:space="preserve">elastības finansējums – 6 407 394 euro) un valsts budžeta līdzfinansējums – 3 523 500 euro (</w:t>
            </w:r>
            <w:r w:rsidR="00000000" w:rsidRPr="00000000" w:rsidDel="00000000">
              <w:rPr>
                <w:b w:val="1"/>
                <w:rtl w:val="0"/>
              </w:rPr>
              <w:t xml:space="preserve">no tā</w:t>
            </w:r>
            <w:r w:rsidR="00000000" w:rsidRPr="00000000" w:rsidDel="00000000">
              <w:rPr>
                <w:rtl w:val="0"/>
              </w:rPr>
              <w:t xml:space="preserve"> elastības finansējums – 1 130 716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iesniegumā</w:t>
            </w:r>
            <w:r w:rsidR="00000000" w:rsidRPr="00000000" w:rsidDel="00000000">
              <w:rPr>
                <w:rtl w:val="0"/>
              </w:rPr>
              <w:t xml:space="preserve"> pasākumam pieejamo finansējumu plāno ne vairāk kā 15 951 890 euro apmērā, tai skaitā  ESF+ finansējumu 13 559 106 euro apmērā un valsts budžeta līdzfinansējumu 2 392 784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euro (no tā elastības finansējums – 7 538 110  euro), tai skaitā ESF+ finansējums – 19 966 500 euro (no tā elastības finansējums – 6 407 394 euro) un valsts budžeta līdzfinansējums – 3 523 500 euro (no tā elastības finansējums – 1 130 716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pasākumam pieejamo finansējumu plāno ne vairāk kā 15 951 890 euro apmērā, tai skaitā  ESF+ finansējumu 13 559 106 euro apmērā un valsts budžeta līdzfinansējumu 2 392 784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izglītības satura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tam, kādēļ pieņemts lēmums mainīt projekta iesniedzēju (kas pēc projekta iesnieguma apstiprināšanas un vienošanās par projekta īstenošanu noslēgšanas ar sadarbības iestādi kļūst par finansējuma saņēmēju) no Izglītības kvalitātes valsts dienests (turpmāk - IKVD) uz Valsts izglītības satura centrs. Līdztekus norādām, ka 2014.–2020.gada plānošanas periodā IKVD bija projekta Nr.8.3.4.0/16/I/001 “Atbalsts priekšlaicīgas mācību pārtraukšanas samazināšanai” (PuMPuRS) īstenotājs un tam ir pieredze īstenojot līdzīgas darbības, kādas plānotas Programmas 2021.–2027.gadam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25.4.1. konsultantu un ekspertu konsultāciju izmaksas šo noteikumu </w:t>
            </w:r>
            <w:r w:rsidR="00000000" w:rsidRPr="00000000" w:rsidDel="00000000">
              <w:rPr>
                <w:rtl w:val="0"/>
              </w:rPr>
              <w:t xml:space="preserve">23.1.4.1. </w:t>
            </w:r>
            <w:r w:rsidR="00000000" w:rsidRPr="00000000" w:rsidDel="00000000">
              <w:rPr>
                <w:rtl w:val="0"/>
              </w:rPr>
              <w:t xml:space="preserve">apakšpunkta</w:t>
            </w:r>
            <w:r w:rsidR="00000000" w:rsidRPr="00000000" w:rsidDel="00000000">
              <w:rPr>
                <w:rtl w:val="0"/>
              </w:rPr>
              <w:t xml:space="preserve">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skaidrojumu par konsultantu un ekspertu konsultāciju izmaksām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šo noteikumu </w:t>
            </w:r>
            <w:r w:rsidR="00000000" w:rsidRPr="00000000" w:rsidDel="00000000">
              <w:rPr>
                <w:rtl w:val="0"/>
              </w:rPr>
              <w:t xml:space="preserve">23.4.2.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izstrādes, licencēšanas un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un novienādojot redakcijas ar citiem punktiem, lūdzam papildināt apakšpunktu ar vārdiem "saskaņā ar šo noteikumu 35.5. apakšpunktā minēto finansējuma sadales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šo noteikumu 23.4.2. apakšpunktā minēto arodizglītības programmu un profesionālās pamatizglītības programmu izstrādes, licencēšanas un īstenošanas izmaksas saskaņā ar šo noteikumu 35.5. apakšpunktā minēto finansējuma sadales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25.13.1. projekta vadības personāla izmaksas, ieskaitot piemaksas, pabalstus un citas darbinieku atlīdzības izmaksas (izņemot virsstundas),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25.13.1. punkta vārdus "... ieskaitot piemaksas, pabalstus un citas darbinieku atlīdzības izmaksas (izņemot virsstundas),...", jo tas viss ietilpst personāla izmaksās un dubultā uzskaitīt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noteikumu projekta 25.13.2.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25.16. 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 un ir attiecināmas arī personālam, kas ir nodarbināts daļlaiku;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25.16. apakšpunktu, jo veselības apdrošināšanas un redzes korekcijas līdzekļu kompensācijas izmaksas ietilpst personāla izmaksās, kas noteiktas noteikumu projekta 25.13.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īstenošanas un rādītāju sasniegšanas progresa uzraudzībai un priekšlikumu sniegšanai Izglītības un zinātnes ministrija izveido uzraudzības padomi, kurā uzaicina piedalīties Labklājības ministrijas, Izglītības kvalitātes valsts dienesta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Projekta uzraudzības padomes sastāvā novērotāju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anotācijā, uz kāda tiesiska pamata projekta īstenošanas, kā arī ar starpinstitūciju sadarbību un ar izglītojamiem paredzētā atbalsta sniegšanu saistīto jautājumu uzraudzību veic Izglītības un zinātnes ministrijas izveidota pasākuma uzraudzības padome. Izziņā skaidrots, ka precizēta anotācija, bet nav norādīts tiesiskais pamats minētajai uzraudzības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šādu pārvaldību neparedz Eiropas Savienības fondu 2021.-2027.gada plānošanas perioda vadības likums un tam pakārtotie Ministru kabineta noteikumi. Proti, uzraudzības padomi paredzēts izveidot Izglītības un zinātnes ministrijai, kura neveiks finansējuma saņēmēja funkcijas, un saskaņā ar Eiropas Savienības fondu 2021.—2027. gada plānošanas perioda vadības likuma 12. panta trešās daļas 7. punktu pienākums nodrošināt projektu īstenošanas uzraudzību un kontroli ir noteikts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ka uzraudzības padomi izveido Izglītības un zinātnes ministrija, ņemot vērā, ka projekta iesniedzējs (finansējuma saņēmējs) ir </w:t>
            </w:r>
            <w:r w:rsidR="00000000" w:rsidRPr="00000000" w:rsidDel="00000000">
              <w:rPr>
                <w:u w:val="single"/>
                <w:rtl w:val="0"/>
              </w:rPr>
              <w:t xml:space="preserve">Valsts izglītības satura centrs, kas ir Izglītības un zinātnes ministrijas padotības iestāde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precizēt teikumu "</w:t>
            </w:r>
            <w:r w:rsidR="00000000" w:rsidRPr="00000000" w:rsidDel="00000000">
              <w:rPr>
                <w:i w:val="1"/>
                <w:rtl w:val="0"/>
              </w:rPr>
              <w:t xml:space="preserve">Sākotnēji projekta finansējums un sasniedzamie uzraudzības rādītāji tiek plānoti atbilstoši tādai 4.2.3.1. apmērā pasākuma finansējuma daļai, kas neietver elastības finansējumu.</w:t>
            </w:r>
            <w:r w:rsidR="00000000" w:rsidRPr="00000000" w:rsidDel="00000000">
              <w:rPr>
                <w:rtl w:val="0"/>
              </w:rPr>
              <w:t xml:space="preserve">" Vēršam Jūsu uzmanību, ka atbilstoši 4.2.3.SAM rādītāju metodoloģijas aprakstam 4.2.3.1.pasākuma iznākuma un rezultāta rādītāju vērtības ir noteiktas </w:t>
            </w:r>
            <w:r w:rsidR="00000000" w:rsidRPr="00000000" w:rsidDel="00000000">
              <w:rPr>
                <w:u w:val="single"/>
                <w:rtl w:val="0"/>
              </w:rPr>
              <w:t xml:space="preserve">ar </w:t>
            </w:r>
            <w:r w:rsidR="00000000" w:rsidRPr="00000000" w:rsidDel="00000000">
              <w:rPr>
                <w:rtl w:val="0"/>
              </w:rPr>
              <w:t xml:space="preserve">elastības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indikatīvo finansējuma apmēra sadalījumu kāds tiks atvēlēts 4.2.3.1.pasākuma: 1) individuālajam līmenim; 2) izglītības iestādes līmenim; 3) pašvaldības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w:t>
            </w:r>
            <w:r w:rsidR="00000000" w:rsidRPr="00000000" w:rsidDel="00000000">
              <w:rPr>
                <w:u w:val="single"/>
                <w:rtl w:val="0"/>
              </w:rPr>
              <w:t xml:space="preserve">kā tiks nodrošināta</w:t>
            </w:r>
            <w:r w:rsidR="00000000" w:rsidRPr="00000000" w:rsidDel="00000000">
              <w:rPr>
                <w:rtl w:val="0"/>
              </w:rPr>
              <w:t xml:space="preserve"> demarkācija un dubultā finansējuma riska novēršana, lai novērstu ieguldījumu savstarpēju pārklāšanos un nodrošinātu savstarpēju papildināmību. Vienlaikus lūdzam skaidrot anotācijā, kuras tieši darbības varētu būt tās, kas varētu būt līdzīgas vai papildinošas. Tāpat lūdzam izvērtēt, vai anotācija nebūtu papildināma ar informāciju par demarkācijas un dubulfinansējuma novēršanu attiecībā uz supervīziju nodrošināšana pašvaldību sociālajiem darbiniekiem Labklājības ministrijas īstenotajā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4.3.5.4.pasākumā “Profesionāla un mūsdienīga sociālā darba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apraksts" minēts, ka ātrāk uzsākamo darbību īstenošanai pirms vienošanās noslēgšanas finansējuma saņēmējs plāno nodarbināt reģionālos ekspertus (piecas slodzes) un reģionālos koordinatorus (piecas slodzes). Lūdzam skaidrot minētā personāla un tā skaita nepieciešamību, ņemot vērā to, ka MK noteikumu projekta 23.3.apakšpunktā noteiktā individualizētā atbalsta sniegšana mērķa grupas izglītojamiem paredzēta tikai pēc sadarbības līguma noslēgšanas ar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norādītais "Lai novērtētu atbalsta pasākumu ietekmi ilgtermiņā, ir nepieciešami dati par atbalstu saņēmušo izglītojamo turpmāko dzīves gājumu (piemēram, mācību turpināšana, iegūta izglītība, iesaistīšanās nodarbinātībā u. c.). Vienlaikus nav iespējams precīzi pierādīt tiešu saistību un ietekmi starp sniegto atbalstu un izglītības turpināšanu (piemēram, ka tieši noteiktā mācību semestrī nodrošināta konsultācija bija izšķirīgs mirklis izglītojamā dzīvē izglītības turpināšanai un iesaistei darba tirgū nākotnē),… " nav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norādīts: “Vienlaikus, pasākuma līmenī ir veikta investīcijas lietderīguma novērtēšana, tai skaitā novērtējot, vai attiecīgos politikas rezultātus ir iespējams sasniegt, neveicot Eiropas Sociālā fonda Plus investīcijas. Novērtējuma rezultātā ir secināts, ka investīciju veikšana plānotajā apjomā ir lietderīga”, bet nav pievienots šis novērtējums lai varētu pārliecināties par projekta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Ministru kabineta 2023. gada 13. jūlija sēdes protokollēmumā (prot. Nr. 36 85. § 3. punkts) noteikto aicinām SAM MK noteikumos iekļaut nepieciešamību finansējuma saņēmējam veikt projekta izmaksu un ieguvumu analīzi vai MK noteikumu anotāciju papildināt ar izmaksu un ieguvumu analīzi vai investīcijas lietderīguma novērtējumu, kurā ar aprēķiniem un datiem pamatot, ka sabiedrības sociālekonomiskie ieguvumi ir lielāki par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aktualizēt informāciju tabulā, izdevumus norādot ar 2024.gadu (pašlaik tabulā pirmais gads norādīts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Riherte-Plankova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ar Izglītības kvalitātes valsts dienestu un Valsts izglītības satura centru </w:t>
            </w:r>
            <w:r w:rsidR="00000000" w:rsidRPr="00000000" w:rsidDel="00000000">
              <w:rPr>
                <w:b w:val="1"/>
                <w:rtl w:val="0"/>
              </w:rPr>
              <w:t xml:space="preserve">līdz 2024. gada 30. aprīlim</w:t>
            </w:r>
            <w:r w:rsidR="00000000" w:rsidRPr="00000000" w:rsidDel="00000000">
              <w:rPr>
                <w:rtl w:val="0"/>
              </w:rPr>
              <w:t xml:space="preserve"> izstrādāt atbalsta piedāvājumu, paredzot izglītības iespējas arodizglītības programmās un profesionālās pamatizglītības programmās izglītojamiem ar nepabeigtu pamatizglītību.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protokollēmuma projekta 4.punktā minētā uzdevuma izpildes statusu. Vienlaikus aicinām izvērtēt, vai izpildes termiņš (līdz 2024. gada 30. aprīlim) nebūtu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