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atšķirībā no Ministru kabineta noteikumiem Nr. 485 “Bioloģiskās lauksaimniecības uzraudzības un kontroles kārtība” (62.1. punkts), regulējums par kontroles institūciju darbības izvērtēšanu un akreditācijas kārtību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7.2. sadaļā ietverto administratīvo izmaksu monetāro novērtējumu attiecībā uz Pārtikas un veterināro dienestu, kurā veikts novērtējums par kontroles institūcijas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26.maija noteikumu Nr.485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uzraudzības un kontroles kārtība" 62.</w:t>
            </w:r>
            <w:r w:rsidR="00000000" w:rsidRPr="00000000" w:rsidDel="00000000">
              <w:rPr>
                <w:vertAlign w:val="superscript"/>
                <w:rtl w:val="0"/>
              </w:rPr>
              <w:t xml:space="preserve">1</w:t>
            </w:r>
            <w:r w:rsidR="00000000" w:rsidRPr="00000000" w:rsidDel="00000000">
              <w:rPr>
                <w:rtl w:val="0"/>
              </w:rPr>
              <w:t xml:space="preserve">. punktā informācijas sniegšanas pienākums ir noteikts kontroles institūcijai, savukārt Pārtikas un veterinārais dienests veic iesniegtās informācijas izvērtēšanu savas kompetences ietvaros. Minētā darbība ir iestādes funkciju izpilde, nevis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iestādes veiktā informācijas izvērtēšana un lēmumu pieņemšana nav kvalificējama kā administratīvais slogs, kas aprēķināms, līdz ar to anotācijā ietvertais administratīvo izmaksu samazinājuma aprēķins Pārtikas un veterinārajam dienestam nav metodoloģiski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administratīvo izmaksu aprēķinu attiecībā uz Pārtikas un veterināro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29.04.2026. 22.48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29.04.2026. 22.48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Atzinumi_25-TA-1683.docx</dc:title>
</cp:coreProperties>
</file>

<file path=docProps/custom.xml><?xml version="1.0" encoding="utf-8"?>
<Properties xmlns="http://schemas.openxmlformats.org/officeDocument/2006/custom-properties" xmlns:vt="http://schemas.openxmlformats.org/officeDocument/2006/docPropsVTypes"/>
</file>