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“Valsts autoceļu attīstības stratēģiju līdz 2040.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02.09.2025.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02.09.2025.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