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22-TA-1500: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Mājokļu pieejamības pamatnostādnes 2022. – 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61 zemsvītras atsauci par statistikas datiem pārcelt uz Ievadu, jo identificētā problēma neattiecas tikai uz mazaizsargātajām iedzīvotāju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īstenotas tiesības uz mājokli ir nepieciešama valsts iesaiste, kā arī ilgtspējīgas mājokļu politikas izstrāde nacionālā līmenī, kas tiktu izstrādāta, sadarbojoties valsts, pašvaldību un nevalstisko organizāciju līmenī. Vienlaikus identificētā problēma par dažādu statistikas datu trūkumu mājokļu pieejamības raksturošanai liek identificēt trūkstošos un nepieciešamos datus dažādu mājokļa pieejamības aspektu raksturošanai, lai vispusīgāk raksturotu mājokļu pieejamības un mājokļu atstumtības jēdzienus un sniegtu pierādījumus kvalitatīvai politikas plānošanai un novērtēšanai.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tika veikti grozījumi Ministru kabineta 2021. gada 1. jūnija noteikumos Nr. 345 "Aizsargātā lietotāja tirdzniecības pakalpojuma noteikumi"  ar mērķi pagarināt aizsargātajiem lietotājiem piemērotā atbalsta rēķina summai par elektroenerģiju un sistēmas pakalpojumiem, neiekļaujot tajā pievienotās vērtības nodokli, periodu līdz 2023. gada 31. decembrim. Attiecīgi Pamatnostādņu projekta 1.daļas 1.1.1. apakšsadaļas teikums (12 lpp.) ir jāprecizē.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noteikumiem Nr. 345 “Aizsargātā lietotāja tirdzniecības pakalpojuma noteikumi” no 2021.gada novembra līdz 2023. gada 31. decembrim daudzbērnu ģimenes ik mēnesi saņem 20 euro lielu maksājuma samazinājumu elektroenerģijas rēķinā, bet pārējās iedzīvotāju kategorijas - 15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25.05.2023.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25.05.2023.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Atzinumi_22-TA-1500.docx</dc:title>
</cp:coreProperties>
</file>

<file path=docProps/custom.xml><?xml version="1.0" encoding="utf-8"?>
<Properties xmlns="http://schemas.openxmlformats.org/officeDocument/2006/custom-properties" xmlns:vt="http://schemas.openxmlformats.org/officeDocument/2006/docPropsVTypes"/>
</file>