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25-TA-1338: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5. novembra noteikumos Nr. 1243 "Kārtība, kādā piešķir valsts budžeta finansējumu, kas paredzēts jauniešu iniciatīvas un līdzdalības veicināšanai lēmumu pieņemšanā un sabiedriskajā dzīvē, darbam ar jaunatni un jaunatnes organizāciju darbības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 projektos, kas apstiprināti tāda atklāta projektu konkursa ietvaros, kurā vienam projektam pieejamā maksimālā summa nepārsniedz 40 000 </w:t>
            </w:r>
            <w:r w:rsidR="00000000" w:rsidRPr="00000000" w:rsidDel="00000000">
              <w:rPr>
                <w:i w:val="1"/>
                <w:rtl w:val="0"/>
              </w:rPr>
              <w:t xml:space="preserve">euro</w:t>
            </w:r>
            <w:r w:rsidR="00000000" w:rsidRPr="00000000" w:rsidDel="00000000">
              <w:rPr>
                <w:rtl w:val="0"/>
              </w:rPr>
              <w:t xml:space="preserve">, aģentūra 10 darbdienu laikā pēc līguma noslēgšanas veic maksājumu 100 % apmērā no projektam piešķirtā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pamatojumu summas palielinājumam no 10 000 euro uz 40 000 euro projektiem, kuriem var piešķirt finansējumu 100% apmērā 10 darba dienu laikā no līguma noslēgšanas dienas, vienlaikus veicot risku izvērtējumu, norādot, cik projektiem līdz šim ir bijušas neattiecināmās izmaksas un gadījumi, kad jāveic neizlietotā finansējuma atmaksa, lai izvērtētu, cik lielu risku tas rada valsts budžetam, ņemto vērā, ka, veicot maksājumu 100% apmērā no projektam piešķirtā finansējuma, pēc būtības tiek samazināta iespēja atgūt neatbilstoši izlietoto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25-TA-1338</w:t>
    </w:r>
    <w:r>
      <w:br/>
    </w:r>
    <w:r w:rsidR="00000000" w:rsidRPr="00000000" w:rsidDel="00000000">
      <w:rPr>
        <w:rtl w:val="0"/>
      </w:rPr>
      <w:t xml:space="preserve">Izdrukāts 17.06.2025. 11.23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25-TA-1338</w:t>
    </w:r>
    <w:r>
      <w:br/>
    </w:r>
    <w:r w:rsidR="00000000" w:rsidRPr="00000000" w:rsidDel="00000000">
      <w:rPr>
        <w:rtl w:val="0"/>
      </w:rPr>
      <w:t xml:space="preserve">Izdrukāts 17.06.2025. 11.23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Atzinumi_25-TA-1338.docx</dc:title>
</cp:coreProperties>
</file>

<file path=docProps/custom.xml><?xml version="1.0" encoding="utf-8"?>
<Properties xmlns="http://schemas.openxmlformats.org/officeDocument/2006/custom-properties" xmlns:vt="http://schemas.openxmlformats.org/officeDocument/2006/docPropsVTypes"/>
</file>