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liekā svara un aptaukošanās izplatības pieauguma mazināšanai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FM 26.03.2025. atzinumā izteikto iebildumu un atkārtoti norādām, ka plāna projektā ir svītrojami pasākumi, kuru īstenošanai finansējums 2026.gadā un turpmākajos gados nav paredzēts likumā “Par valsts budžetu 2025. gadam un budžeta ietvaru 2025., 2026. un 2027. gadam”, tādējādi nodrošinot, ka plāna projektā ietvertos pasākumus ir iespējams īstenot piešķirtā finansējuma ietvaros, neuzņemoties saistības bez finansiāla seguma. 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attīstības plānošanas dokumentu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 Vienlaikus norādām, ka atbilstoši MK 2025.gada 27.marta rīkojuma Nr.179 “Par likumprojekta “Par valsts budžetu 2026. gadam un budžeta ietvaru 2026., 2027. un 2028. gadam” sagatavošanas grafiku” pielikuma 9.punktam ministrijām jāiesniedz priekšlikumi prioritārajiem pasākumiem tikai aizsardzībai un demogrāfijai.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precizējama plāna projekta 1.sadaļa “Kopsavilkums”, norādot, ka plāna projektā ietvertie pasākumi īstenojami piešķirtā finansējuma ietvaros, kā arī precizējama plāna projekta 4.sadaļa “Mērķis un veicamie uzdevumi”, 5.sadaļa “Ietekmes novērtējums uz valsts un pašvaldību budžetu” un plāna projekta pielikums, tajā iekļaujot tikai tādus pasākumus, kuru īstenošanu var nodrošināt piešķirto valsts budžeta līdzekļu ietvaros, un svītrojot pasākumus, kuru īstenošanai nepieciešams papildu finansējums valsts pamatfunkciju īstenošanai. Vienlaikus nepieciešams precizēt rīkojuma projekta 5.punktu, izsakot to šādā redakcijā: “5. Plānā paredzēto pasākumu īstenošanu iesaistītajām institūcijām nodrošināt atbilstoši tām piešķirtajiem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10.04.2025.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10.04.2025.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Atzinumi_24-TA-2119.docx</dc:title>
</cp:coreProperties>
</file>

<file path=docProps/custom.xml><?xml version="1.0" encoding="utf-8"?>
<Properties xmlns="http://schemas.openxmlformats.org/officeDocument/2006/custom-properties" xmlns:vt="http://schemas.openxmlformats.org/officeDocument/2006/docPropsVTypes"/>
</file>