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17.punkts paredz papildināt Enerģētikas likumu ar X1 nodaļu, tostarp ar 58.4 panta (6)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Biomasas kurināmo, bioloģisko šķidro kurināmo un biogāzi var uzskatīt par atbilstošiem ilgtspējas un siltumnīcefekta gāzu emisiju ietaupījuma kritērijiem, bet pārstrādātā oglekļa kurināmo, kā arī bioloģisko šķidro kurināmo un biomasas kurināmo, ko ražo no atkritumiem un atlikumiem, kas nav lauksaimniecības, akvakultūras, zvejniecības un mežsaimniecības atlikumi, un no atkritumiem un atlikumiem, ko vispirms pārstrādā produktā, kuru pēc tam pārstrādā bioloģiskajā šķidrajā kurināmajā un biomasas kurināmajā, uzskata par tādu, kas nodrošina siltumnīcefekta gāzu emisiju ietaupījumu, ja tas ir apliecināts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brīvprātīgās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shēmas, kuru izveidojusi cita Eiropas Savienības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panta daļas redakciju, paredzot iespēju siltumnīcefekta gāzu ietaupījumu apliecināt arī Nacionālās shēmas ietvaros. Attiecīgi aicinām no daļas 2.punkta svītrot vārdu ‘cita’ vai papildināt uzskaitījumu ar vēl vienu punktu sekojošā redakcijā: “4) Latvijas nacionālās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13.punkts paredz papildināt 46.pantu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Centralizētās siltumapgādes sistēmas operatori savā tīmekļa vietnē reizi mēnesī publicē informāciju par iepriekšējā mēneša atjaunīgās enerģijas īpatsvaru centralizētajā siltumapgādes sistēmā vai centralizētajā aukstumapgādes sistēmā un reizi pusgadā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CSA operatoriem, atbilstoši Energoefektivitātes likuma un Ministru kabineta 2016.gada 19.aprīļa noteikumu Nr. 243 “Noteikumi par energoefektivitātes prasībām licencēta vai reģistrēta energoapgādes komersanta valdījumā esošām centralizētām siltumapgādes sistēmām un to atbilstības pārbaudes kārtību” prasībām,  ir reizi gadā jāziņo par veiktajiem energoefektivitātes uzlabošanas pasākumiem un sasniegtajiem ietaupījumiem, aicinām Enerģētikas likumā noteikt tādu pat termiņu, izsakot pantu sekojošā redakcijā: “(6) Centralizētās siltumapgādes sistēmas operatori savā tīmekļa vietnē reizi mēnesī publicē informāciju par iepriekšējā mēneša atjaunīgās enerģijas īpatsvaru centralizētajā siltumapgādes sistēmā vai centralizētajā aukstumapgādes sistēmā un reizi 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