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338 "Prasības sociālo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49.punktā, kas paredz 187.punktu izteikt citā redakcijā, noteikto, ka noteikumu 30.2., 30.7, 31.5., 34.6., 34.10.apakšpunkta, 42. un 53.punkta pilnīga ieviešana sociālo pakalpojumu sniedzējiem jānodrošina līdz 2026.gada 1.janvārim, lūdzam anotācijā sniegt skaidrojumu par minētā termiņa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1.1.sadaļas “Pamatojums” punktā “Apraksts” norādītajam noteikumu projekts izstrādāts pēc Labklājības ministrijas iniciatīvas saskaņā ar Sociālo pakalpojumu un sociālās palīdzības likuma 17.panta otro daļu un Bērnu tiesību aizsardzības likuma 37. panta septīto daļu, lai nodrošinātu izveidojušās labās prakses un plānoto politikas iniciatīvu ieviešanu sociālo pakalpojumu sniegšanā. Lūdzam anotācijā sniegt skaidrojumu, kādas politikas iniciatīvas paredzēts ieviest.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42.punktam, kas paredz izteikt MK noteikumu Nr.338 53.punktu citā redakcijā, noteikts, ka, ja pilngadīgo aprūpes institūcijā ir 49 vai vairāk vietas, tajā izveido veselības punktu atbilstoši normatīvajos aktos par obligātajām prasībām ārstniecības iestādēm un to struktūrvienībām noteiktajam. Atbilstoši Labklājības ministrijas 30.06.2022. vēstules Nr.30-1-03/939 “Par labklājības nozares prioritārajiem pasākumiem” pielikumā sniegtajai informācijai veselības punktu izveidošanai ilgstošas sociālās aprūpes un sociālās rehabilitācijas institūcijās ar 49 vai vairāk vietām pilngadīgām personām 2023.gadam nepieciešams papildu finansējums 1,8 milj. </w:t>
            </w:r>
            <w:r w:rsidR="00000000" w:rsidRPr="00000000" w:rsidDel="00000000">
              <w:rPr>
                <w:i w:val="1"/>
                <w:rtl w:val="0"/>
              </w:rPr>
              <w:t xml:space="preserve">euro</w:t>
            </w:r>
            <w:r w:rsidR="00000000" w:rsidRPr="00000000" w:rsidDel="00000000">
              <w:rPr>
                <w:rtl w:val="0"/>
              </w:rPr>
              <w:t xml:space="preserve"> apmērā, savukārt anotācijas 3.sadaļā “Tiesību akta projekta ietekme uz valsts budžetu un pašvaldību budžetiem” norādīts, ka projekts šo jomu neskar. Vienlaikus, ņemot vērā, ka noteikumu projektā tiek iekļautas arī citas normas, kā piemēram, paredzētie grozījumi  MK noteikumu Nr.338 30., 34., 56.punktā u.c., aicinām Labklājības ministriju izvērtēt, vai noteikumu projektā iekļautās normas nerada ietekmi uz valsts budžetu un pašvaldību budžetiem. Ņemot vērā minēto, lūdzam precizēt anotāciju, aizpildot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izmaiņas un papildu prasības pakalpojumu sniegšanā (piemēram, nepieciešamība veikt telpu pielāgošanu atbilstoši normām, kā arī saskaņā ar 34.14. un 56.5. apakšpunktu aprūpes institūcija nodrošina medikamentus un sedz pacienta līdzmaksājumu, 53.punkts paredz veselības punktu izveidošanu, uc). Ņemt vērā minēto un to, ka sociālos pakalpojumus nodrošina arī pašvaldības, lūdzam izvērtēt, vai minēto prasību nodrošināšanai būs nepieciešami papildu līdzekļi no pašvaldību budžetiem, attiecīgi aizpildot anotācijas 3. sadaļu “Tiesību akta projekta ietekme uz valsts budžetu un pašvaldību budžetiem”, norādot ietekmi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Izteikt 187.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Nr.338 nav 31.5.apakšpunkta, lūdzam precizēt noteikumu projekta 49.punktu, kas paredz izteikt MK noteikumu Nr.338 187.punktu citā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22-TA-2003</w:t>
    </w:r>
    <w:r>
      <w:br/>
    </w:r>
    <w:r w:rsidR="00000000" w:rsidRPr="00000000" w:rsidDel="00000000">
      <w:rPr>
        <w:rtl w:val="0"/>
      </w:rPr>
      <w:t xml:space="preserve">Izdrukāts 31.10.2022.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22-TA-2003</w:t>
    </w:r>
    <w:r>
      <w:br/>
    </w:r>
    <w:r w:rsidR="00000000" w:rsidRPr="00000000" w:rsidDel="00000000">
      <w:rPr>
        <w:rtl w:val="0"/>
      </w:rPr>
      <w:t xml:space="preserve">Izdrukāts 31.10.2022.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Atzinumi_22-TA-2003.docx</dc:title>
</cp:coreProperties>
</file>

<file path=docProps/custom.xml><?xml version="1.0" encoding="utf-8"?>
<Properties xmlns="http://schemas.openxmlformats.org/officeDocument/2006/custom-properties" xmlns:vt="http://schemas.openxmlformats.org/officeDocument/2006/docPropsVTypes"/>
</file>