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 īpašumu Jāņa Daliņa ielā 8–11 un Jāņa Daliņa ielā 8–140,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26.08.2024.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26.08.2024.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