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23-TA-2398: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12. februāra noteikumos Nr. 72 "Noteikumi par akcīzes nodokļa nodrošinājumiem"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Nacionālā kravas ekspeditoru un loģistikas asociācija "LAFF"")</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2022. gada 13. oktobra likuma "Grozījumi likumā "Par akcīzes nodokli"" anotācijas pretēji noteikumu projekta anotācijā minētajam izriet, ka attiecīgās direktīvas 17. panta prasības pārņemtas arī likuma "Par akcīzes nodokli" 8., 9.</w:t>
            </w:r>
            <w:r w:rsidR="00000000" w:rsidRPr="00000000" w:rsidDel="00000000">
              <w:rPr>
                <w:vertAlign w:val="superscript"/>
                <w:rtl w:val="0"/>
              </w:rPr>
              <w:t xml:space="preserve">1</w:t>
            </w:r>
            <w:r w:rsidR="00000000" w:rsidRPr="00000000" w:rsidDel="00000000">
              <w:rPr>
                <w:rtl w:val="0"/>
              </w:rPr>
              <w:t xml:space="preserve">, 31. un 32. pantā, tādēļ lūdzam atbilstoši precizēt noteikumu projekta anotācijas 5.4. sadaļas 1. tabulu, salāgojot skaidrojumu par 17. panta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noteikumu projekta anotācijā norādīts, ka attiecīgās direktīvas 17. panta 2. punktu plānots pārņemt ar grozījumiem likumā “Par akcīzes nodokli”, kurus izstrādā Finanšu ministrija. Saistībā ar minēto lūdzam noteikumu projektam pievienotajā Ministru kabineta sēdes protokollēmumā paredzēt atbilstošu Finanšu ministrijas uzdevumu, nosakot arī, ka attiecīgie grozījumi tiek Ministru kabinetā iesniegti iespējami drīz.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23-TA-2398</w:t>
    </w:r>
    <w:r>
      <w:br/>
    </w:r>
    <w:r w:rsidR="00000000" w:rsidRPr="00000000" w:rsidDel="00000000">
      <w:rPr>
        <w:rtl w:val="0"/>
      </w:rPr>
      <w:t xml:space="preserve">Izdrukāts 28.03.2024.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23-TA-2398</w:t>
    </w:r>
    <w:r>
      <w:br/>
    </w:r>
    <w:r w:rsidR="00000000" w:rsidRPr="00000000" w:rsidDel="00000000">
      <w:rPr>
        <w:rtl w:val="0"/>
      </w:rPr>
      <w:t xml:space="preserve">Izdrukāts 28.03.2024.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Atzinumi_23-TA-2398.docx</dc:title>
</cp:coreProperties>
</file>

<file path=docProps/custom.xml><?xml version="1.0" encoding="utf-8"?>
<Properties xmlns="http://schemas.openxmlformats.org/officeDocument/2006/custom-properties" xmlns:vt="http://schemas.openxmlformats.org/officeDocument/2006/docPropsVTypes"/>
</file>