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presi un citiem masu informācijas 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w:t>
            </w:r>
            <w:r w:rsidR="00000000" w:rsidRPr="00000000" w:rsidDel="00000000">
              <w:rPr>
                <w:b w:val="1"/>
                <w:rtl w:val="0"/>
              </w:rPr>
              <w:t xml:space="preserve">2.</w:t>
            </w:r>
            <w:r w:rsidR="00000000" w:rsidRPr="00000000" w:rsidDel="00000000">
              <w:rPr>
                <w:b w:val="1"/>
                <w:vertAlign w:val="superscript"/>
                <w:rtl w:val="0"/>
              </w:rPr>
              <w:t xml:space="preserve">1</w:t>
            </w:r>
            <w:r w:rsidR="00000000" w:rsidRPr="00000000" w:rsidDel="00000000">
              <w:rPr>
                <w:b w:val="1"/>
                <w:rtl w:val="0"/>
              </w:rPr>
              <w:t xml:space="preserve"> pants. Likumā lietotie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ir lietoti šādi termini: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"mediju pakalpojums" ir "mediju pakalpojums" Eiropas Parlamenta un Padomes 2024. gada 11. aprīļa Regulas (ES) 2024/1083, ar ko izveido vienotu satvaru mediju pakalpojumiem iekšējā tirgū un groza Direktīvu 2010/13/ES (Eiropas Mediju brīvības akts), turpmāk – Eiropas Mediju brīvības akts, 2. panta 1. 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"mediju pakalpojumu sniedzējs” ir Eiropas Mediju brīvības akta 2. panta 2. punktā noteiktais mediju pakalpojumu sniedzējs, tajā skaitā šā likuma izpratnē masu informācijas līdzekļa īpašnieks (dibinātājs), izdevējs vai elektroniskais plašsaziņas 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"tiešsaistes platforma" ir Eiropas Mediju brīvības akta 2. panta 9. punktā noteiktā tiešsaistes platforma;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"mediju tirgus koncentrācija" ir Eiropas Mediju brīvības akta 2. panta 15. punktā noteiktā koncentrācija;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"patiesais labuma guvējs" ir Noziedzīgi iegūtu līdzekļu legalizācijas un terorisma un proliferācijas finansēšanas novēršanas likuma 1. panta 5. punktā noteiktais patiesais labuma guvējs un faktiskais īpašnieks Eiropas Mediju brīvības akta 6. panta 1. punkta c. apakšpunkta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reklāma" ir noteikta Eiropas Mediju brīvības akta 2. panta 19.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izpratni par to, kas likuma izpratnē būs uzskatāma par valsts reklāmu, šī termina skaidrojums no likumprojekta anotācijas būtu pārnesams uz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izteikt otrās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masu informācijas līdzekļa nosaukums, kura rakstībā lietoti latviešu vai latīņu alfabēta burti. Masu informācijas līdzekļa nosaukumu papildus var norādīt valodā, kurā tas tiks izdots, taču šis nosaukums netiek ierakstīts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spēkā esoša likuma redakcijā 9. panta otrās daļas 1. punkts ir jau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1) masu informācijas līdzekļa nosaukums, kura rakstībā lietoti latviešu vai latīņu alfabēta burti. Masu informācijas līdzekļa nosaukumu papildus var norādīt valodā, kurā tas tiks izdots, taču šis nosaukums netiek ierakstīts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kāpēc nepieciešams šo ietvert grozījumos.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pants. Papildināt likumu ar IV</w:t>
            </w:r>
            <w:r w:rsidR="00000000" w:rsidRPr="00000000" w:rsidDel="00000000">
              <w:rPr>
                <w:vertAlign w:val="superscript"/>
                <w:rtl w:val="0"/>
              </w:rPr>
              <w:t xml:space="preserve">1</w:t>
            </w:r>
            <w:r w:rsidR="00000000" w:rsidRPr="00000000" w:rsidDel="00000000">
              <w:rPr>
                <w:rtl w:val="0"/>
              </w:rPr>
              <w:t xml:space="preserve"> nodaļu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6. punktā plānotie grozījumi paredz mediju pakalpojumu sniedzēju pienākumu līdz kārtējā gada 1. jūlijam iesniegt Uzņēmuma reģistram pārskatu par iepriekšējā gadā saņemto publisko finansējumu valsts reklāmai. Savukārt, likumprojekta 12. punktā plānotie grozījumi paredz publisku iestāžu vai subjektu pienākumu katru līdz 1. jūlijam iesniegt Valsts kases ePārskatu sistēmā informāciju par publiskajiem izdevumiem valsts reklāmai.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ņemot vērā ievērojamo publisko subjektu skaitu, uz ko prasība būtu attiecināma, </w:t>
            </w:r>
            <w:r w:rsidR="00000000" w:rsidRPr="00000000" w:rsidDel="00000000">
              <w:rPr>
                <w:b w:val="1"/>
                <w:u w:val="single"/>
                <w:rtl w:val="0"/>
              </w:rPr>
              <w:t xml:space="preserve">birokrātijas mazināšanas nolūkos, atskaitīšanās pienākums būtu nosakāms vienai pusei - mediju pakalpojumu sniedzējiem.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vēršam uzmanību uz 12. pantā lietoto apzīmējumu “publiskas iestādes vai subjekti”. Šāds termins Latvijas Republikas normatīvajos tiesību aktos netiek lietots. Arī likumprojekta anotācijā minētie piemēri nav izsmeļoši, īpaši attiecībā uz kapitālsabiedrībām ar publisku personu līdzdalību.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un normu vienotu piemērošanu, gadījumā, ja prasība tomēr tiek saglabāta, </w:t>
            </w:r>
            <w:r w:rsidR="00000000" w:rsidRPr="00000000" w:rsidDel="00000000">
              <w:rPr>
                <w:b w:val="1"/>
                <w:u w:val="single"/>
                <w:rtl w:val="0"/>
              </w:rPr>
              <w:t xml:space="preserve">aicinām apzīmējumu “publiskas iestādes un subjekti” aizstāt ar Valsts pārvaldes iekārtas likumā un Publiskas personas kapitāla daļu un kapitālsabiedrību pārvaldības likumā lietotajiem terminiem un likumā subjektus uzskaitīt izsmeļoši.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25-TA-360</w:t>
    </w:r>
    <w:r>
      <w:br/>
    </w:r>
    <w:r w:rsidR="00000000" w:rsidRPr="00000000" w:rsidDel="00000000">
      <w:rPr>
        <w:rtl w:val="0"/>
      </w:rPr>
      <w:t xml:space="preserve">Izdrukāts 16.12.2025. 20.58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25-TA-360</w:t>
    </w:r>
    <w:r>
      <w:br/>
    </w:r>
    <w:r w:rsidR="00000000" w:rsidRPr="00000000" w:rsidDel="00000000">
      <w:rPr>
        <w:rtl w:val="0"/>
      </w:rPr>
      <w:t xml:space="preserve">Izdrukāts 16.12.2025. 20.58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Atzinumi_25-TA-360.docx</dc:title>
</cp:coreProperties>
</file>

<file path=docProps/custom.xml><?xml version="1.0" encoding="utf-8"?>
<Properties xmlns="http://schemas.openxmlformats.org/officeDocument/2006/custom-properties" xmlns:vt="http://schemas.openxmlformats.org/officeDocument/2006/docPropsVTypes"/>
</file>