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turpina uzturēt iebildumu un lūdz skaidrot, kāpēc komersants, ar ko noslēgts sadarbības līgums, projekta īstenošanas gaitā nevar mainīties uz citu komersantu, minot argumentus par attiecīgo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16.06.2023.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16.06.2023.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