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24-TA-1560: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Vardarbības pret sievieti un vardarbības ģimenē novēršanas un apkarošanas plāns 2024.-2029.gadam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(1.Pielikums_Finansu_tabula)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(1.1.Pielikums_LM)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(1.2.pielikums_IeM)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(1.3.pielikums_EM)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(1.4.pielikums_KM)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1.4.pielikumā iekļauto 3.6.pasākuma "3.6. Īstenoti vardarbības riska mazināšanas pasākumi augstākās izglītības iestādēs" īstenošanai Kultūras ministrijai papildu nepieciešamā finansējuma aprēķinu, paredzot, ka 2026.gadā šī pasākuma īstenošanai papildu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sasniegtu rezultatīvo rādītāju - Izstrādāta politika, kā nodrošināt augstskolu akadēmiskā un vispārējā  personāla un studējošo informētību par drošu studiju vides izveidi. - Mācību vides labiekārtošana - 225 000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sasniegtu rezultatīvo rādītāju - Augstskolās izveidotas vai aktualizētas esošās vadlīnijas un algoritmi reaģēšanai uz vardarbības, īpaši seksuālās vardarbības, gadījumiem, kā arī  ieviests mehānisms kā nodrošināt, ka attiecīgajā augstskolā vadlīnijas tiek ieviestas. - Psiholoģiskā atbalsta nodrošināšana vardarbības gadījumos (psihologa konsultācijas) - 100 000 euro un Apmācību nodrošināšana speciālistiem - 25 000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2.punktā minētā rezultatīvā rādītāja sasniegšanai norādītais papildu nepieciešamais finansējums plānojams arī turpmākajos gados - 2027., 2028., 2029.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plāna 1.pielikumu.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Turlaja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15.11.2024.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15.11.2024.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Atzinumi_24-TA-1560.docx</dc:title>
</cp:coreProperties>
</file>

<file path=docProps/custom.xml><?xml version="1.0" encoding="utf-8"?>
<Properties xmlns="http://schemas.openxmlformats.org/officeDocument/2006/custom-properties" xmlns:vt="http://schemas.openxmlformats.org/officeDocument/2006/docPropsVTypes"/>
</file>