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Kriminālprocesā un administratīvo pārkāpumu lietvedībā nodarītā kaitējuma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likumprojekts paredz izslēgt 2. panta otro daļu ar mērķi konkretizēt kaitējuma atlīdzinājuma tiesisko pamatojumu, Korupcijas novēršanas un apkarošanas birojs aicina papildināt anotācijas 1.3. sadaļu "Risinājuma apraksts" ar pamatojumu, ka kaitējuma atlīdzinājuma tiesiskais pamats var būt arī publisko tiesību juridiskās personas lēmums, kas atcelts tā apstrīdēšanas procesā un administratīvā pārkāpuma process izbeigts.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Ilvija Ābele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02.10.2024.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02.10.2024.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Atzinumi_23-TA-2694.docx</dc:title>
</cp:coreProperties>
</file>

<file path=docProps/custom.xml><?xml version="1.0" encoding="utf-8"?>
<Properties xmlns="http://schemas.openxmlformats.org/officeDocument/2006/custom-properties" xmlns:vt="http://schemas.openxmlformats.org/officeDocument/2006/docPropsVTypes"/>
</file>