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26-TA-854: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22. oktobra noteikumos Nr. 663 "Eiropas Savienības kohēzijas politikas programmas 2021.–2027. gadam 1.2.1. specifiskā atbalsta mērķa "Pētniecības un inovāciju kapacitātes stiprināšana un progresīvu tehnoloģiju ieviešana uzņēmumiem" 1.2.1.1. pasākuma "Atbalsts jaunu produktu attīstībai un internacionalizācijai" trešās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"Grozījumi Ministru kabineta 2024. gada 22. oktobra noteikumos Nr. 663 "Eiropas Savienības kohēzijas politikas programmas 2021.–2027. gadam 1.2.1. specifiskā atbalsta mērķa "Pētniecības un inovāciju kapacitātes stiprināšana un progresīvu tehnoloģiju ieviešana uzņēmumiem" 1.2.1.1. pasākuma "Atbalsts jaunu produktu attīstībai un internacionalizācijai" trešās kārtas īstenošanas noteikumi"" (turpmāk - noteikumu projekts) anotācijas izriet, ka, lai nodrošinātu atbalsta pieejamību visiem atlasītajiem projektiem, nepieciešama papildu finansējuma novirzīšana 1,5 milj. euro apmērā, norādot, ka tas ļaus nodrošināt pilnvērtīgu atbalstu atlasītajiem projektiem un sekmēt jaunu tehnoloģiju attīstību un ieviešanu tirgū. Viennozīmīgai izpratnei lūdzam papildināt anotāciju, precīzi norādot, kādām konkrētām darbībām minētais papildu finansējums ir nepieciešams, kā arī vai būs veicami grozījumi līgumos par projektu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anotāciju ar informāciju, ka ir plānota visu projektu iesniedzēju informēšana par noteikumu grozījumiem pēc to apstiprināšanas MK, t.sk. par iespēju slēgt līgumus.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Naudiņa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anotāciju, ka, ņemot vērā izmaiņas rādītāju vērtībās, Ekonomikas ministrija pie 6. Programmas grozījumiem Finanšu ministrijai pēc iespējas ātrāk iesūtīs arī precizēto 1.2.1. SAM pasi.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Naudiņa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informāciju par intervences kodiem, norādot pieejamā finansējuma sadalījumu starp 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Naudiņa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3.sadaļu, svītrojot šobrīd izmaiņu ailēs norādīto finansējumu un atspoguļojot noteikumu projektā paredzēto finansējuma palielinājumu 1.2.1.1. pasākuma “Atbalsts jaunu produktu attīstībai un internacionalizācijai” (turpmāk -  1.2.1.1. pasākums) īstenošanai 1 494 873 euro apmērā, vienlaikus 6.punktā sniedzot tam pamatojošo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papildināt noteikumu projekta anotāciju ar informāciju, ka grozījumi Ministru kabineta 2023. gada 17. oktobra noteikumos Nr.597 "Eiropas Savienības kohēzijas politikas programmas 2021.–2027. gadam 1.2.1. specifiskā atbalsta mērķa "Pētniecības un inovāciju kapacitātes stiprināšana un progresīvu tehnoloģiju ieviešana uzņēmumiem" 1.2.1.3. pasākuma "Uzņēmuma atbalsts dalībai kapitāla tirgos" īstenošanas noteikumi" uz Ministru kabinetu apstiprināšanai tik virzīti vienlaicīgi vai pirms grozījumiem Ministru kabineta 2024. gada 22. oktobra noteikumos Nr.663 "Eiropas Savienības kohēzijas politikas programmas 2021.–2027. gadam 1.2.1. specifiskā atbalsta mērķa "Pētniecības un inovāciju kapacitātes stiprināšana un progresīvu tehnoloģiju ieviešana uzņēmumiem" 1.2.1.1. pasākuma "Atbalsts jaunu produktu attīstībai un internacionalizācijai" trešās kārtas īstenošanas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ietvaros kopējais pieejamais attiecināmais finansējums ir 30 860 372 </w:t>
            </w:r>
            <w:r w:rsidR="00000000" w:rsidRPr="00000000" w:rsidDel="00000000">
              <w:rPr>
                <w:i w:val="1"/>
                <w:rtl w:val="0"/>
              </w:rPr>
              <w:t xml:space="preserve">euro</w:t>
            </w:r>
            <w:r w:rsidR="00000000" w:rsidRPr="00000000" w:rsidDel="00000000">
              <w:rPr>
                <w:rtl w:val="0"/>
              </w:rPr>
              <w:t xml:space="preserve">, tai skaitā Eiropas Reģionālās attīstības fonda finansējums – 26 231 316 </w:t>
            </w:r>
            <w:r w:rsidR="00000000" w:rsidRPr="00000000" w:rsidDel="00000000">
              <w:rPr>
                <w:i w:val="1"/>
                <w:rtl w:val="0"/>
              </w:rPr>
              <w:t xml:space="preserve">euro</w:t>
            </w:r>
            <w:r w:rsidR="00000000" w:rsidRPr="00000000" w:rsidDel="00000000">
              <w:rPr>
                <w:rtl w:val="0"/>
              </w:rPr>
              <w:t xml:space="preserve"> un valsts budžeta līdzfinansējums – 4 629 056​​​​​​​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brīvā finansējuma pārdali no 1.2.1.3. pasākuma, taču noteikumu projektā norādītās summas neatbilst faktiskajam finansējuma izlietojumam 1.2.1.3. pasākumā uz 2026. gada 23.aprīli. 1.2.1.3. pasākuma ietvaros ir īstenoti 2 projekti par kopējo publisko finansējumu 143 080,56 EUR, t.sk. ERAF finansējumu 121 608, 93 EUR un valsts budžeta līdzfinansējumu 21 471,63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un precizēt noteikumu projektā noteiktās pieejamā finansējuma summas atbilstoši faktiskajam finansējuma izlietojumam 1.2.1.3. pasākumā.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šī brīža finansējuma pārdales rezultātā, ņemot vērā uzņemtās saistības 1.2.1.1. pasākuma 3.kārtas 2.uzsaukumā, veidosies publiskā finansējuma pārpalikums aptuveni 250 tūkst. EUR apmērā, kas nebūs pietiekams rindojumā nākošo esošo projektu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Naudiņa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Šo noteikumu </w:t>
            </w:r>
            <w:r w:rsidR="00000000" w:rsidRPr="00000000" w:rsidDel="00000000">
              <w:rPr>
                <w:rtl w:val="0"/>
              </w:rPr>
              <w:t xml:space="preserve">27.6.</w:t>
            </w:r>
            <w:r w:rsidR="00000000" w:rsidRPr="00000000" w:rsidDel="00000000">
              <w:rPr>
                <w:rtl w:val="0"/>
              </w:rPr>
              <w:t xml:space="preserve"> un </w:t>
            </w:r>
            <w:r w:rsidR="00000000" w:rsidRPr="00000000" w:rsidDel="00000000">
              <w:rPr>
                <w:rtl w:val="0"/>
              </w:rPr>
              <w:t xml:space="preserve">27.9.</w:t>
            </w:r>
            <w:r w:rsidR="00000000" w:rsidRPr="00000000" w:rsidDel="00000000">
              <w:rPr>
                <w:rtl w:val="0"/>
              </w:rPr>
              <w:t xml:space="preserve"> apakšpunktā</w:t>
            </w:r>
            <w:r w:rsidR="00000000" w:rsidRPr="00000000" w:rsidDel="00000000">
              <w:rPr>
                <w:rtl w:val="0"/>
              </w:rPr>
              <w:t xml:space="preserve"> minētās izmaksas nevar pārsniegt vairāk kā 30 procentus no projektā kopējā attiecināmo izmaksu apmēra.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punktā nav noteikts, vai procentuālais ierobežojums aprēķināms no projekta plānotajām vai faktiskajām attiecināmajām izmaksām. Ņemot vērā Revīzijas iestādes konstatējumus par situācijām, kad projekta īstenošanas gaitā rodas ietaupījums vai tiek konstatēti pārkāpumi, kuru rezultātā paredzēta nepamatoti izmaksāto vai neatļauti izmantoto līdzekļu atgūšana, pastāv risks, ka var tikt konstatēts procentuālā ierobežojuma pārsniegums arī gadījumos, kad izdevumi atbilst apstiprinātajam projekta budžetam.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precizēt procentuālā ierobežojuma piemērošanas nosacījumus, nodrošinot, lai tie būtu viennozīmīgi, saprotami un praksē vienādi piemērojami visām iesaistītajām pusēm, nosakot, ka procentuālais ierobežojums tiek aprēķināts attiecībā pret projekta plānotajām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27.6. un 27.9. apakšpunktā minētās izmaksas nedrīkst pārsniegt 30 procentus no projektā plānotā kopējā attiecināmo izmaksu apmēra.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Naudiņa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26-TA-854</w:t>
    </w:r>
    <w:r>
      <w:br/>
    </w:r>
    <w:r w:rsidR="00000000" w:rsidRPr="00000000" w:rsidDel="00000000">
      <w:rPr>
        <w:rtl w:val="0"/>
      </w:rPr>
      <w:t xml:space="preserve">Izdrukāts 06.05.2026. 16.24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26-TA-854</w:t>
    </w:r>
    <w:r>
      <w:br/>
    </w:r>
    <w:r w:rsidR="00000000" w:rsidRPr="00000000" w:rsidDel="00000000">
      <w:rPr>
        <w:rtl w:val="0"/>
      </w:rPr>
      <w:t xml:space="preserve">Izdrukāts 06.05.2026. 16.24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Atzinumi_26-TA-854.docx</dc:title>
</cp:coreProperties>
</file>

<file path=docProps/custom.xml><?xml version="1.0" encoding="utf-8"?>
<Properties xmlns="http://schemas.openxmlformats.org/officeDocument/2006/custom-properties" xmlns:vt="http://schemas.openxmlformats.org/officeDocument/2006/docPropsVTypes"/>
</file>