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23-TA-956: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2012. gada 18. decembra noteikumos Nr. 889 "Noteikumi par atmežošanas kompensācijas noteikšanas kritērijiem, aprēķināšanas un atlīdzināšanas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Ja paredzams, ka atmežošanas rezultātā pāri paliekoša meža platība vienas zemes vienības ietvaros ir mazāka par 0,5 ha, kompensāciju aprēķina un zemes lietošanas veids tiek mainīts visai meža platībai, izņemot, ja darbība tiek veikta īpaši aizsargājamā dabas teritorijā,  vides un dabas resursu aizsardzības aizsargjoslā vai Dabas datu pārvaldības sistēmā reģistrētā īpaši aizsargājamā biotopā un atlikušais mežs pieguļ citai meža platībai, kā arī ja tiek ierīkots infrastruktūras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rosina 2.1.punktā saikli "un" pirms ....</w:t>
            </w:r>
            <w:r w:rsidR="00000000" w:rsidRPr="00000000" w:rsidDel="00000000">
              <w:rPr>
                <w:i w:val="1"/>
                <w:rtl w:val="0"/>
              </w:rPr>
              <w:t xml:space="preserve">atlikušais mežs pieguļ citai meža </w:t>
            </w:r>
            <w:r w:rsidR="00000000" w:rsidRPr="00000000" w:rsidDel="00000000">
              <w:rPr>
                <w:i w:val="1"/>
                <w:rtl w:val="0"/>
              </w:rPr>
              <w:t xml:space="preserve">platībai...</w:t>
            </w:r>
            <w:r w:rsidR="00000000" w:rsidRPr="00000000" w:rsidDel="00000000">
              <w:rPr>
                <w:rtl w:val="0"/>
              </w:rPr>
              <w:t xml:space="preserve">   aizstāt ar saikli "vai". Lai atmežošanas rezultātā pāri paliekošā meža platība vienas zemes vienības ietvaros, kas ir mazāka par 0,5ha, nebūtu obligāti atmežojama, ir jāizpildās </w:t>
            </w:r>
            <w:r w:rsidR="00000000" w:rsidRPr="00000000" w:rsidDel="00000000">
              <w:rPr>
                <w:u w:val="single"/>
                <w:rtl w:val="0"/>
              </w:rPr>
              <w:t xml:space="preserve">vismaz vienam no izņēmumiem</w:t>
            </w:r>
            <w:r w:rsidR="00000000" w:rsidRPr="00000000" w:rsidDel="00000000">
              <w:rPr>
                <w:rtl w:val="0"/>
              </w:rPr>
              <w:t xml:space="preserve">: proti, darbība tiek veikta īpaši aizsargājamā dabas teritorijā </w:t>
            </w:r>
            <w:r w:rsidR="00000000" w:rsidRPr="00000000" w:rsidDel="00000000">
              <w:rPr>
                <w:b w:val="1"/>
                <w:rtl w:val="0"/>
              </w:rPr>
              <w:t xml:space="preserve">vai </w:t>
            </w:r>
            <w:r w:rsidR="00000000" w:rsidRPr="00000000" w:rsidDel="00000000">
              <w:rPr>
                <w:rtl w:val="0"/>
              </w:rPr>
              <w:t xml:space="preserve"> vides un dabas resursu aizsardzības aizsargjoslā </w:t>
            </w:r>
            <w:r w:rsidR="00000000" w:rsidRPr="00000000" w:rsidDel="00000000">
              <w:rPr>
                <w:b w:val="1"/>
                <w:rtl w:val="0"/>
              </w:rPr>
              <w:t xml:space="preserve">vai </w:t>
            </w:r>
            <w:r w:rsidR="00000000" w:rsidRPr="00000000" w:rsidDel="00000000">
              <w:rPr>
                <w:rtl w:val="0"/>
              </w:rPr>
              <w:t xml:space="preserve">Dabas datu pārvaldības sistēmā reģistrētā īpaši aizsargājamā biotopā </w:t>
            </w:r>
            <w:r w:rsidR="00000000" w:rsidRPr="00000000" w:rsidDel="00000000">
              <w:rPr>
                <w:b w:val="1"/>
                <w:rtl w:val="0"/>
              </w:rPr>
              <w:t xml:space="preserve">vai </w:t>
            </w:r>
            <w:r w:rsidR="00000000" w:rsidRPr="00000000" w:rsidDel="00000000">
              <w:rPr>
                <w:rtl w:val="0"/>
              </w:rPr>
              <w:t xml:space="preserve">atlikušais mežs pieguļ citai meža platībai.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Ja paredzams, ka atmežošanas rezultātā pāri paliekoša meža platība vienas zemes vienības ietvaros ir mazāka par 0,5 ha, kompensāciju aprēķina un zemes lietošanas veids tiek mainīts visai meža platībai, izņemot, ja darbība tiek veikta īpaši aizsargājamā dabas teritorijā,  vides un dabas resursu aizsardzības aizsargjoslā vai Dabas datu pārvaldības sistēmā reģistrētā īpaši aizsargājamā biotopā </w:t>
            </w:r>
            <w:r w:rsidR="00000000" w:rsidRPr="00000000" w:rsidDel="00000000">
              <w:rPr>
                <w:b w:val="1"/>
                <w:rtl w:val="0"/>
              </w:rPr>
              <w:t xml:space="preserve">vai</w:t>
            </w:r>
            <w:r w:rsidR="00000000" w:rsidRPr="00000000" w:rsidDel="00000000">
              <w:rPr>
                <w:rtl w:val="0"/>
              </w:rPr>
              <w:t xml:space="preserve"> atlikušais mežs pieguļ citai meža platībai, kā arī ja tiek ierīkots infrastruktūras objekts.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atmežošana veikta, bet persona nav kompensējusi valstij ar atmežošanas izraisīto negatīvo seku novēršanu saistītos izdevumus (ja vien atmežošana nav veikta saskaņā ar Meža likuma 41.panta otro daļu vai šo noteikumu pielikuma 3.1.apakšpunktā minēto atmežošanas mērķi), Valsts meža dienests šajos noteikumos noteiktajā kārtībā, izmantojot attiecīgo 3., 5. vai 7.punktā noteikto kompensācijas apmēra aprēķina formulu, nosaka kompensācijas apmēru un piedzen par labu valstij, nepieciešamības gadījumā vēršoties ar civilprasību tiesā.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neatbalsta 19.punkta redakcijas maiņu dzēšot no tā normu par kompensācijas piedzīšanu par labu valstij </w:t>
            </w:r>
            <w:r w:rsidR="00000000" w:rsidRPr="00000000" w:rsidDel="00000000">
              <w:rPr>
                <w:u w:val="single"/>
                <w:rtl w:val="0"/>
              </w:rPr>
              <w:t xml:space="preserve">trīskāršā apmērā,</w:t>
            </w:r>
            <w:r w:rsidR="00000000" w:rsidRPr="00000000" w:rsidDel="00000000">
              <w:rPr>
                <w:rtl w:val="0"/>
              </w:rPr>
              <w:t xml:space="preserve"> ja persona nav kompensējusi valstij ar atmežošanas izraisīto negatīvo seku novēršanu saistītos izdevumus. Arī Latvijas Republikas tiesībsargs savā atzinumā pārbaudes lietā Nr.2021-63-27D ir norādījis, ka "ir svarīgi, lai personai būtu ekonomiski izdevīgāk ievērot normatīvo aktu prasības, nekā maksāt atmežošanas kompensāciju trīskāršā apmērā. Attiecībā uz atmežošanas kompensācijas piedzīšanu trīskāršā apmērā par labu valstij, tiesībsargs norāda, ka vispāratzīts tiesu praksē, ka jebkura soda apmērs ir viens no sodu politikas veidojošiem elementiem, kas ielasāms likumdevēja rīcības brīvībā."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Ja atmežošana veikta, bet nav samaksāta kompensācija (ja vien atmežošana nav veikta saskaņā ar Meža likuma 41.panta otro daļu vai šo noteikumu pielikuma 3.1.apakšpunktā minēto atmežošanas mērķi), Valsts meža dienests no meža īpašnieka vai tiesiskā valdītāja par labu valstij piedzen kompensāciju trīskāršā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Brice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23-TA-956</w:t>
    </w:r>
    <w:r>
      <w:br/>
    </w:r>
    <w:r w:rsidR="00000000" w:rsidRPr="00000000" w:rsidDel="00000000">
      <w:rPr>
        <w:rtl w:val="0"/>
      </w:rPr>
      <w:t xml:space="preserve">Izdrukāts 15.10.2024. 17.23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23-TA-956</w:t>
    </w:r>
    <w:r>
      <w:br/>
    </w:r>
    <w:r w:rsidR="00000000" w:rsidRPr="00000000" w:rsidDel="00000000">
      <w:rPr>
        <w:rtl w:val="0"/>
      </w:rPr>
      <w:t xml:space="preserve">Izdrukāts 15.10.2024. 17.23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Atzinumi_23-TA-956.docx</dc:title>
</cp:coreProperties>
</file>

<file path=docProps/custom.xml><?xml version="1.0" encoding="utf-8"?>
<Properties xmlns="http://schemas.openxmlformats.org/officeDocument/2006/custom-properties" xmlns:vt="http://schemas.openxmlformats.org/officeDocument/2006/docPropsVTypes"/>
</file>