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23-TA-2103: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palīdzības sniegšanu Ukrainai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43.</w:t>
            </w:r>
            <w:r w:rsidR="00000000" w:rsidRPr="00000000" w:rsidDel="00000000">
              <w:rPr>
                <w:vertAlign w:val="superscript"/>
                <w:rtl w:val="0"/>
              </w:rPr>
              <w:t xml:space="preserve">1 </w:t>
            </w:r>
            <w:r w:rsidR="00000000" w:rsidRPr="00000000" w:rsidDel="00000000">
              <w:rPr>
                <w:rtl w:val="0"/>
              </w:rPr>
              <w:t xml:space="preserve">panta pirmo daļu atļaut Ekonomikas ministrijai sniegt palīdzību Čerņihivas pilsētas domei (Ukraina) un nodot bez atlīdzības 12 moduļu mājas, mēbeles pirmsskolas izglītības iestādēm un 88 bērnu ārtelpu rotaļlaukumu aprīkojumus saskaņā ar šī rīkojuma pielikumu par kopējo iegādes vērtību 1 492 750,04 </w:t>
            </w:r>
            <w:r w:rsidR="00000000" w:rsidRPr="00000000" w:rsidDel="00000000">
              <w:rPr>
                <w:i w:val="1"/>
                <w:rtl w:val="0"/>
              </w:rPr>
              <w:t xml:space="preserve">euro</w:t>
            </w:r>
            <w:r w:rsidR="00000000" w:rsidRPr="00000000" w:rsidDel="00000000">
              <w:rPr>
                <w:rtl w:val="0"/>
              </w:rPr>
              <w:t xml:space="preserve">, ieskaitot pievienotās vērtības nodokli.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Ekonomikas ministrijas sagatavotais Ministru kabineta rīkojuma projekts ” Par palīdzības sniegšanu Ukrainai” (turpmāk – projekts) un par to izsakām šādu priekšlikumu.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saskaņā ar Publiskas personas mantas atsavināšanas likuma 43.</w:t>
            </w:r>
            <w:r w:rsidR="00000000" w:rsidRPr="00000000" w:rsidDel="00000000">
              <w:rPr>
                <w:vertAlign w:val="superscript"/>
                <w:rtl w:val="0"/>
              </w:rPr>
              <w:t xml:space="preserve">1</w:t>
            </w:r>
            <w:r w:rsidR="00000000" w:rsidRPr="00000000" w:rsidDel="00000000">
              <w:rPr>
                <w:rtl w:val="0"/>
              </w:rPr>
              <w:t xml:space="preserve">panta pirmo daļu un Ministru kabineta 2006. gada 25. jūlija noteikumiem Nr.618 “Kārtība, kādā valsts kustamo mantu nodod bez atlīdzības ārvalstu valdību un starpvalstu organizāciju īpašumā” (turpmāk – noteikumi). Vēršam uzmanību, ka minētais regulējums paredzēts valsts kustamās mantas nodošanas gadījumiem. Projekta anotācijā tiek norādīts, ka nododamā manta (bērnudārza aprīkojums, moduļu mājas) nav valsts īpašumā un to iegādei nepieciešams veikt publisko iepirkumu, lai pēc tam to kā humāno palīdzību nodotu Ukrainai. Tādējādi Tieslietu ministrijas ieskatā plānotajai procedūrai ir izvēlēta neatbilstoša tiesību norma. Ievērojot minēto, piedāvājam projektu pārstrādāt atbilstoši starptautiskās humānās palīdzības sniegšanas regulējumam, piemēram, izmantot Civilās aizsardzības un katastrofas pārvaldīšanas likuma 24. pantā un Ministru kabineta 2017. gada 12. decembra noteikumos Nr.721 “Humānās palīdzības saņemšanas un sniegšanas kārtība” noteikto regulējumu un procedūras.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23-TA-2103</w:t>
    </w:r>
    <w:r>
      <w:br/>
    </w:r>
    <w:r w:rsidR="00000000" w:rsidRPr="00000000" w:rsidDel="00000000">
      <w:rPr>
        <w:rtl w:val="0"/>
      </w:rPr>
      <w:t xml:space="preserve">Izdrukāts 25.08.2023. 14.13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23-TA-2103</w:t>
    </w:r>
    <w:r>
      <w:br/>
    </w:r>
    <w:r w:rsidR="00000000" w:rsidRPr="00000000" w:rsidDel="00000000">
      <w:rPr>
        <w:rtl w:val="0"/>
      </w:rPr>
      <w:t xml:space="preserve">Izdrukāts 25.08.2023. 14.13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Atzinumi_23-TA-2103.docx</dc:title>
</cp:coreProperties>
</file>

<file path=docProps/custom.xml><?xml version="1.0" encoding="utf-8"?>
<Properties xmlns="http://schemas.openxmlformats.org/officeDocument/2006/custom-properties" xmlns:vt="http://schemas.openxmlformats.org/officeDocument/2006/docPropsVTypes"/>
</file>