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nozares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Direktīvas mērķis ir noteikt izņēmumus no </w:t>
            </w:r>
            <w:r w:rsidR="00000000" w:rsidRPr="00000000" w:rsidDel="00000000">
              <w:rPr>
                <w:i w:val="1"/>
                <w:rtl w:val="0"/>
              </w:rPr>
              <w:t xml:space="preserve">research unbundling</w:t>
            </w:r>
            <w:r w:rsidR="00000000" w:rsidRPr="00000000" w:rsidDel="00000000">
              <w:rPr>
                <w:rtl w:val="0"/>
              </w:rPr>
              <w:t xml:space="preserve"> prasībām gadījumos, kad pētījums ir par SME segmenta emitentu. Piedāvājam precizēt šo aspektu, lai ir skaidrs, kā šie noteikumi korelējas ar vispārīgajiem </w:t>
            </w:r>
            <w:r w:rsidR="00000000" w:rsidRPr="00000000" w:rsidDel="00000000">
              <w:rPr>
                <w:i w:val="1"/>
                <w:rtl w:val="0"/>
              </w:rPr>
              <w:t xml:space="preserve">inducement</w:t>
            </w:r>
            <w:r w:rsidR="00000000" w:rsidRPr="00000000" w:rsidDel="00000000">
              <w:rPr>
                <w:rtl w:val="0"/>
              </w:rPr>
              <w:t xml:space="preserve"> un </w:t>
            </w:r>
            <w:r w:rsidR="00000000" w:rsidRPr="00000000" w:rsidDel="00000000">
              <w:rPr>
                <w:i w:val="1"/>
                <w:rtl w:val="0"/>
              </w:rPr>
              <w:t xml:space="preserve">research unbundling</w:t>
            </w:r>
            <w:r w:rsidR="00000000" w:rsidRPr="00000000" w:rsidDel="00000000">
              <w:rPr>
                <w:rtl w:val="0"/>
              </w:rPr>
              <w:t xml:space="preserve"> noteikumiem. Šobrīd no piedāvātas redakcijas tas nav saprotams. Iespējams, šos jaunos noteikumus būtu loģiskāk iekļaut likuma XII</w:t>
            </w:r>
            <w:r w:rsidR="00000000" w:rsidRPr="00000000" w:rsidDel="00000000">
              <w:rPr>
                <w:vertAlign w:val="superscript"/>
                <w:rtl w:val="0"/>
              </w:rPr>
              <w:t xml:space="preserve">6</w:t>
            </w:r>
            <w:r w:rsidR="00000000" w:rsidRPr="00000000" w:rsidDel="00000000">
              <w:rPr>
                <w:rtl w:val="0"/>
              </w:rPr>
              <w:t xml:space="preserve"> nodaļā.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(12</w:t>
            </w:r>
            <w:r w:rsidR="00000000" w:rsidRPr="00000000" w:rsidDel="00000000">
              <w:rPr>
                <w:vertAlign w:val="superscript"/>
                <w:rtl w:val="0"/>
              </w:rPr>
              <w:t xml:space="preserve">7</w:t>
            </w:r>
            <w:r w:rsidR="00000000" w:rsidRPr="00000000" w:rsidDel="00000000">
              <w:rPr>
                <w:rtl w:val="0"/>
              </w:rPr>
              <w:t xml:space="preserve">) Ja ieguldījumu brokeru sabiedrība vai kredītiestāde, kura klientam sniedz portfeļa pārvaldības vai citu ieguldījumu pakalpojumu vai ieguldījumu blakuspakalpojumu, izmanto trešo personu pētījumus un ja šī trešā persona nodrošina arī rīkojumu izpildi, </w:t>
            </w:r>
            <w:r w:rsidR="00000000" w:rsidRPr="00000000" w:rsidDel="00000000">
              <w:rPr>
                <w:u w:val="single"/>
                <w:rtl w:val="0"/>
              </w:rPr>
              <w:t xml:space="preserve">uzskatāms, ka</w:t>
            </w:r>
            <w:r w:rsidR="00000000" w:rsidRPr="00000000" w:rsidDel="00000000">
              <w:rPr>
                <w:rtl w:val="0"/>
              </w:rPr>
              <w:t xml:space="preserve"> ieguldījumu brokeru sabiedrība vai kredītiestāde </w:t>
            </w:r>
            <w:r w:rsidR="00000000" w:rsidRPr="00000000" w:rsidDel="00000000">
              <w:rPr>
                <w:u w:val="single"/>
                <w:rtl w:val="0"/>
              </w:rPr>
              <w:t xml:space="preserve">ir ievērojusi šī likuma prasības attiecībā uz pamudinājumu saņemšanu saistībā ar pētījumiem un ir tiesīga saņemt pētījumus, ja</w:t>
            </w:r>
            <w:r w:rsidR="00000000" w:rsidRPr="00000000" w:rsidDel="00000000">
              <w:rPr>
                <w:rtl w:val="0"/>
              </w:rPr>
              <w:t xml:space="preserve">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1) [..]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Armands Onzuls (LFNA)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23-TA-360</w:t>
    </w:r>
    <w:r>
      <w:br/>
    </w:r>
    <w:r w:rsidR="00000000" w:rsidRPr="00000000" w:rsidDel="00000000">
      <w:rPr>
        <w:rtl w:val="0"/>
      </w:rPr>
      <w:t xml:space="preserve">Izdrukāts 06.04.2023.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23-TA-360</w:t>
    </w:r>
    <w:r>
      <w:br/>
    </w:r>
    <w:r w:rsidR="00000000" w:rsidRPr="00000000" w:rsidDel="00000000">
      <w:rPr>
        <w:rtl w:val="0"/>
      </w:rPr>
      <w:t xml:space="preserve">Izdrukāts 06.04.2023.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