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 februāra noteikumos Nr. 59 "Valsts un Eiropas Savienības atbalsta piešķiršanas kārtība investīciju veicināšanai lauksaimniecībā"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ir izvērtējusi Ministru kabineta noteikumu projektu "Grozījumi Ministru kabineta 2015. gada 3. februāra noteikumos Nr. 59 "Valsts un Eiropas Savienības atbalsta piešķiršanas kārtība investīciju veicināšanai lauksaimniecībā"" un aicina Zemkopības ministriju veikt sekojošas izmaiņas noteikumu 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Euribor likmes kāpumu un kredītsloga palielināšanos lauksaimniekiem, kooperatīviem un pārstrādes uzņēmumiem, aicinām novirzīt daļējai kredītprocentu dzēšanai papildus finansējumu 2 000 000 apmērā un rast iespēju esošo 4% vietā nosegt līdz 5% no kredīta procentu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04.04.2023. 00.52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04.04.2023. 00.52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Atzinumi_23-TA-132.docx</dc:title>
</cp:coreProperties>
</file>

<file path=docProps/custom.xml><?xml version="1.0" encoding="utf-8"?>
<Properties xmlns="http://schemas.openxmlformats.org/officeDocument/2006/custom-properties" xmlns:vt="http://schemas.openxmlformats.org/officeDocument/2006/docPropsVTypes"/>
</file>