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28. augusta noteikumos Nr. 596 "Dabas parka "Engures ezers"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savu iepriekš (12.08.2022.) izteikto iebildumu, vēl jo vairāk, ņemot vērā sniegto paskaidrojumu par Dabas aizsardzības pārvaldes kompetenci, ja tiktu mainīta zemes vienības zonējuma piederība, Ekonomikas ministrija neredz nekādus riskus vai šķēršļus, lai veiktu Engures dabas parka teritorijas daļas funkcionālā zonējuma maiņu, zemes vienībai ar kadastra apzīmējumu 8878 003 0979, kas ietilpst Mērsraga ostas teritorijā un ir nepieciešama Mērsraga ostas darbības nodrošināšanai, mainot funkcionālo zonējumu no “dabas parka zona” uz zonējumu “neitrālā zona”.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2.pielikumu ar 4.</w:t>
            </w:r>
            <w:r w:rsidR="00000000" w:rsidRPr="00000000" w:rsidDel="00000000">
              <w:rPr>
                <w:vertAlign w:val="superscript"/>
                <w:rtl w:val="0"/>
              </w:rPr>
              <w:t xml:space="preserve">1</w:t>
            </w:r>
            <w:r w:rsidR="00000000" w:rsidRPr="00000000" w:rsidDel="00000000">
              <w:rPr>
                <w:rtl w:val="0"/>
              </w:rPr>
              <w:t xml:space="preserve">punktu šādā redakcijā: "4</w:t>
            </w:r>
            <w:r w:rsidR="00000000" w:rsidRPr="00000000" w:rsidDel="00000000">
              <w:rPr>
                <w:vertAlign w:val="superscript"/>
                <w:rtl w:val="0"/>
              </w:rPr>
              <w:t xml:space="preserve">1</w:t>
            </w:r>
            <w:r w:rsidR="00000000" w:rsidRPr="00000000" w:rsidDel="00000000">
              <w:rPr>
                <w:rtl w:val="0"/>
              </w:rPr>
              <w:t xml:space="preserve">.Neitrālajā zonā “Mērsraga osta” ietilpst nekustamā īpašuma “Mērsraga osta” (nekustamā īpašuma kadastra Nr. 8878 003 0145) zemes vienība ar kadastra apzīmējumu 8878 003 0979.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22.11.2022.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22.11.2022.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