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22-TA-593: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Atveseļošanas un noturības mehānisma plāna 2. komponentes “Digitālā transformācija” 2.3. reformu un investīciju virziena “Digitālās prasmes” 2.3.1.2.i. investīcijas “Uzņēmumu digitālo prasmju attīstība”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Tirdzniecības un rūpniecības kamera"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9.2.1. neunikālo komersantu skaits, kuros ir nodrošināta digitālo pamatprasmju apguve līdz 2023.gada 31.decembrim – 450 komersanti;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9.2.1. punkts pēc būtības neatbilst programmas ieviešanas tempam, jo pēc projektu pieteikumu apstiprināšanas būs jāveic digitāla brieduma testi, jāsagatavo ceļa kartes, jāveic apmācību vajadzību precizēšana, jāīsteno valsts atbalsta piešķiršanas procedūra un jāveic apmācību piegādātāju atlase un līgumu slēgšana. Šāds darbību kopums paredz to, ka uzskatīt komersantu skaitu, kuros ir nodrošināta digitālo pamatprasmju apguve, varēs sākot no 2024.gada.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Neveicot būtiskas izmaiņas projekta īstenošanas atbalsta mehānismā, t.sk. attiecināmo izmaksu sadalījumā, projekta termiņā vai rādītāju apjomā, ir nopietns risks, ka prasības pret finansējuma saņēmējiem būs pārmērīgas un projekta pieteikumi no pieredzējušiem pretendentiem netiks iesniegti, kas uzliek risku ANM finansējuma lietderīgai izmantošanai.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aicina precizēt noteikumu projekta 9.2.1. punktu, izsakot LTRK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“9.2.1. neunikālo komersantu skaits, kuros ir nodrošināta digitālo pamatprasmju apguve līdz 2024. gada 31. decembrim – </w:t>
            </w:r>
            <w:r w:rsidR="00000000" w:rsidRPr="00000000" w:rsidDel="00000000">
              <w:rPr>
                <w:b w:val="1"/>
                <w:rtl w:val="0"/>
              </w:rPr>
              <w:t xml:space="preserve">200</w:t>
            </w:r>
            <w:r w:rsidR="00000000" w:rsidRPr="00000000" w:rsidDel="00000000">
              <w:rPr>
                <w:rtl w:val="0"/>
              </w:rPr>
              <w:t xml:space="preserve"> komersanti”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Paula Šimkuse (LTRK)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9.4.2. komersantu skaits, kam nodrošināta digitālo pamatprasmju apguve, otrās kārtas ietvaros līdz 2024. gada 30. jūnijam – 286, viena projekta pieteikumā ne mazāk kā 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punkts pēc būtības neatbilst programmas ieviešanas tempam, jo pēc projektu pieteikumu apstiprināšanas būs jāveic digitāla brieduma testi, jāsagatavo ceļa kartes, jāveic apmācību vajadzību precizēšana, jāīsteno valsts atbalsta piešķiršanas procedūra un jāveic apmācību piegādātāju atlase un līgumu slēgšana. Šāds darbību kopums paredz to, ka projektos varētu būs atšķirīga iesaistīto komersantu skaita dinamika. Aicinām noteikt tikai kopējo otrās kārtas projektu kopējo rādītāju. Komersantu skaitu Finansējuma saņēmēji norādīs projekta pieteikumos atbilstoši pieprasītajam projekta finansējuma apjomam, kas starp projektiem var atšķirties.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Neveicot būtiskas izmaiņas projekta īstenošanas atbalsta mehānismā, t.sk. attiecināmo izmaksu sadalījumā, projekta termiņā vai rādītāju apjomā, ir nopietns risks, ka prasības pret finansējuma saņēmējiem būs pārmērīgas un projekta pieteikumi no pieredzējušiem pretendentiem netiks iesniegti, kas uzliek risku ANM finansējuma lietderīgai izmantošanai.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aicina precizēt 9.4.2. punktu, izsakot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“9.4.2. komersantu skaits, kam nodrošināta digitālo pamatprasmju apguve, otrās kārtas ietvaros līdz 2024. gada 30. jūnijam – </w:t>
            </w:r>
            <w:r w:rsidR="00000000" w:rsidRPr="00000000" w:rsidDel="00000000">
              <w:rPr>
                <w:b w:val="1"/>
                <w:rtl w:val="0"/>
              </w:rPr>
              <w:t xml:space="preserve">100</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Paula Šimkuse (LTRK)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9.4.4. komersantu skaits, kam nodrošināta digitālo pamatprasmju apguve, otrās kārtas ietvaros līdz 2026. gada 30. jūnijam – 1100, viena projekta pieteikumā ne mazāk kā 110.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noteikt tikai kopējo otrās kārtas projektu kopējo rādītāju. Komersantu skaitu Finansējuma saņēmēji norādīs projekta pieteikumos atbilstoši pieprasītajam projekta finansējuma apjomam, kas starp projektiem var atšķirties. Turklāt vēršam uzmanību, ka norādītais rādītājs pret plānoto finansējumu un projekta īstenošanas ilgumu ir par augstu. Īpaši ievērojot administratīvo darbību kopumu ar uzņēmumu testēšanām (pirms un pēc apmācībām) un citām darbībām, projekta īstenošanas termiņš ir par īsu šādu rādītāju sasniegšanai.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Neveicot būtiskas izmaiņas projekta īstenošanas atbalsta mehānismā, t.sk. attiecināmo izmaksu sadalījumā, projekta termiņā vai rādītāju apjomā, ir nopietns risks, ka prasības pret Finansējuma saņēmējiem būs pārmērīgas un projekta pieteikumi no pieredzējušiem pretendentiem netiks iesniegti, kas uzliek risku ANM finansējuma lietderīgai izmantošanai.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aicina precizēt 9.4.4. punktu, izsakot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“9.4.4. komersantu skaits, kam nodrošināta digitālo pamatprasmju apguve, otrās kārtas ietvaros līdz 2026. gada 30. jūnijam – </w:t>
            </w:r>
            <w:r w:rsidR="00000000" w:rsidRPr="00000000" w:rsidDel="00000000">
              <w:rPr>
                <w:b w:val="1"/>
                <w:rtl w:val="0"/>
              </w:rPr>
              <w:t xml:space="preserve">500</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Paula Šimkuse (LTRK)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Investīcijas atbalsts investīcijas ietvaros tiek sniegts granta un nefinanšu atbalsta veidā.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aicina precizēt 12. punktu, nosakot finansējuma piešķiršanas kārtību otrās kārtas finansējuma saņēmējiem.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informāciju par atbalsta saņemšanu komersantiem (gala labuma guvējiem) caur nozaru asociācijām un atbalsta finansējuma saņemšanas kārtību, jo apmācību izmaksu segšanai ir paredzēts arī privātais finansējums, kas nozīmētu, ka komersanti projekta īstenošanas laikā 100% apmērā finansē savu darbinieku apmācības un pēc attiecināmo izmaksu apstiprināšanas no CFLA puses, nozaru asociācija (kā finansējuma saņēmējs) izmaksā komersantam atbilstošo atbalsta finansējuma daļu (atkarībā no piešķirtās atbalsta intensitātes).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Paula Šimkuse (LTRK)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Apmācību kursi var būt saistīti ar jaunu iekārtu ieviešanu saimnieciskās darbības attīstībai.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aicina precizēt 37. punktu, izsakot LTRK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Apmācību kursi var būt saistīti ar jaunu iekārtu </w:t>
            </w:r>
            <w:r w:rsidR="00000000" w:rsidRPr="00000000" w:rsidDel="00000000">
              <w:rPr>
                <w:b w:val="1"/>
                <w:rtl w:val="0"/>
              </w:rPr>
              <w:t xml:space="preserve">vai procesu</w:t>
            </w:r>
            <w:r w:rsidR="00000000" w:rsidRPr="00000000" w:rsidDel="00000000">
              <w:rPr>
                <w:rtl w:val="0"/>
              </w:rPr>
              <w:t xml:space="preserve"> ieviešanu saimnieciskās darbības attīstībai.”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Paula Šimkuse (LTRK)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42.1. apmācību kursu izmaksas, kas tieši saistītas ar investīcijas otrās kārtas projektu: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42.2. punkts pēc satura neatbilst 34.5. punktam, jo 42.2. punktā aprakstītās darbības ir saistītas ar tiešo apmācību nodrošināšanas procesu. LTRK aicina precizēt 42.1. punktu, pārceļot informāciju no 42.2. punkta un izsakot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42.1. apmācību kursu izmaksas, kas tieši saistītas ar investīcijas otrās kārtas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42.1.1. kopējā pasniedzēju darba samaksa par darba stundām, kas nepārsniedz apmācību kursu ilgumu (tai skaitā darba devēja valsts sociālās apdrošināšanas obligātās iemaksas);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42.1.2. pasniedzēju un nodarbināto ceļa (transporta)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42.1.3. pasniedzēju izmitināšanas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42.1.4. ar apmācībām saistīto konsultāciju pakalpojumu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42.1.5. gala labuma guvēja darbinieku izmitināšanas izmaksas, ja apmācības norisinās ārvalstīs;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42.1.6. maksa par materiāliem un pakalpojumiem, kas tieši saistīti ar apmācību kursiem: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42.1.6.1. apmācībām izmantojamo mācību materiālu izmaksas (drukāti vai audiovizuāli materiāli, kuri pēc apmācību beigām paliek projektā apmācīto nodarbināto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42.1.6.2. apmācībām izmantojamo telpu un iekārtu nomas izmaksas par mācību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42.1.7. mācību maksa gala labuma guvēju darbiniekiem, tai skaitā sertifikācijas vai eksaminācijas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42.1.8. tulku un tulkotāju pakalpojumu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42.1.9. tiešsaistes platformu abonementu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42.1.10. konferences organizēšanas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Paula Šimkuse (LTRK)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42.2. informatīvo pasākumu izmaksas, lai motivētu komersantus attīstīt prasmes;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aicina precizēt MKN 42.2. punktu, izsakot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42.2. informatīvo pasākumu izmaksas, lai motivētu komersantus attīstīt prasmes;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42.2.1. aktuālo ziņu sagatavošana un publicēšana;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42.2.2. orģinālrakstu sagatavošana un publicēšana;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42.2.3. informatīvo pasākumu vizuālo materiālu sagatavošana;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42.2.4. publikācijas kanālu pielāgošana, informācijas uzturēšana, informācijas publicēšana un aktivizēšana sociālajos tīklos.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42.2.5. ar projektu saistītu tematiku publisku informatīvo pasākumu organizēšana klātienē vai attālināti.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Paula Šimkuse (LTRK)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44.2. ārpakalpojuma izmaksas – projektu vadība, grāmatvedības pakalpojumi, juridiskie pakalpojumi, t.sk. darba vietas aprīkojuma izmaksas (pieļaujama tikai aprīkojuma noma vai nolietojums), transporta izmaksas (maksa par degvielu, transportlīdzekļa noma, transporta pakalpojuma pirkšana, sabiedriskā transporta izmantošana), telpu īres un nomas izmaksas, telpu apsaimniekošanas izmaksas (apkure, elektrība, apsaimniekošanas pakalpojumi, ūdensapgāde), kancelejas preču izmaksas, pasta izdevumi, interneta un telekomunikāciju izmaksas, komandējumu vai darba braucienu izmaksas, iekļaujot šīs izmaksas ārpakalpojuma projekta vadības līgumā, kā atsevišķu pozīciju.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aicina precizēt 44.2. punktu, jo ir pretruna ar 46.2. punktu, kurā tādas pašas darbības ir atbalstāmas.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Paula Šimkuse (LTRK)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Pirmās un otrās kārtas ietvaros projekta vadības izmaksas, t.sk. darba devēja valsts sociālās apdrošināšanas obligātās iemaksas nepārsniedz 17 % no kopējām projekta iesniegumā apstiprinātajām izmaksām: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vadības darbību paplašināšana ir tiešā veidā saistīta ar projekta īstenošanas rādītāju pieauguma sasniegšanu. Pie 9. punktā noteiktajiem rādītājiem, kuri ir jāsasniedz ļoti ierobežotā laika periodā (vērtējot esošo komersantu nodarbināto apmācību programmu rādītāju pieauguma dinamiku un tam piešķirto projekta vadības budžetu), nepieciešams veikt papildus darbības, lai vairāk iesaistītu komersantus atbalsta saņemšanai.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 šobrīd noteikumu projektā noteiktā limita 17%, kas pie plānotā viena projekta apjoma 600 000 EUR sastāda 102 000 EUR uz 3 gadiem (34 000 EUR/gadā vai 2833 EUR/mēnesī) ir neiespējami sasniegt augstākus komersantu iesaistes rādītājus kā līdz šim īstenotajos nozaru asociāciju apmācību projektos, kur ikmēneša projekta vadības likme ir noteikta 3000 EUR/mēn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aicina precizēt 46.punktu, izsakot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Pirmās un otrās kārtas ietvaros projekta vadības izmaksas, t.sk. darba devēja valsts sociālās apdrošināšanas obligātās iemaksas nepārsniedz </w:t>
            </w:r>
            <w:r w:rsidR="00000000" w:rsidRPr="00000000" w:rsidDel="00000000">
              <w:rPr>
                <w:b w:val="1"/>
                <w:rtl w:val="0"/>
              </w:rPr>
              <w:t xml:space="preserve">25 %</w:t>
            </w:r>
            <w:r w:rsidR="00000000" w:rsidRPr="00000000" w:rsidDel="00000000">
              <w:rPr>
                <w:rtl w:val="0"/>
              </w:rPr>
              <w:t xml:space="preserve"> no kopējām projekta iesniegumā apstiprinātajām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Paula Šimkuse (LTRK)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aicina papildināt noteikumu projekta anotāciju ar informāciju par “informatīvajiem pasākumiem” redakcijā, kas bija jau iepriekš iekļauta MKN Nr. 617 grozījumu (MKN nr. 301 no 13.05.2021.) anotācijā, proti: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“Informatīvie pasākumi ietver, piemēram, seminārus, konferences (klātienē/tiešsaistē), informatīvas kampaņas (tai skaitā ietverot praktiskus piemērus Covid-19 izraisītās krīzes seku mazināšanā caur digitālās transformācijas un digitālo rīku sniegtajām iespējām), u.c. darbības, kas veicina efektīvu prasmju pilnveides pasākumu īstenošanu nozaru konkurētspējas stiprināšanai un ātrākai ekonomiskās krīzes pārvarēšanai nozarē kopumā un individuālajam komersantam;”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plašāku komersantu iesaisti uzņēmumu digitālo prasmju attīstībā ir nepieciešams īstenot regulāru informatīvo pasākumu kopumu, kas nodrošinātu plašāku informācijas apriti dažādās nozarēs par “apmācību kultūru” komersantos, aktuālajām digitālo apmācību iespējām, konkurētspējīgām digitālo apmācību tendencēm Latvijā un pasaulē, atbalsta programmu sniegtajām iespējām un citām aktualitātēm apmācību tirgū. Informatīvie pasākumi būtu jāīsteno ar populāriem mārketinga rīkiem (e-vidē, e-pastos, sociālajos tīklos, vebināriem, e-konferencēm, u.tml.).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Paula Šimkuse (LTRK)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 Pirmās un otrās kārtas ietvaros investīcijas projekta apmācību un ar tām saistītā personāla izmaksas nepārsniedz 80% no kopējām projekta iesniegumā apstiprinātajām izmaksām.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aicina papildināt noteikumu projektu ar jaunu 47. punktu, izsakot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 informatīvo pasākumu izmaksas, lai motivētu komersantus attīstīt prasmes, kas nepārsniedz 15% no kopējām projekta iesniegumā apstiprinātajām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noteikumu projektā nav paredzētas šādas izmaksas, kuras rodas atsevišķi no Projekta vadības izmaksām un ir saistītas ar komersantu informētības palielināšanu par atbalsta programmu un veicinātu rādītāju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Paula Šimkuse (LTRK)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aicina papildināt noteikumu projekta anotāciju ar informāciju par atbalsta saņemšanu komersantiem (gala labuma guvējiem) caur nozaru asociācijām un atbalsta finansējuma saņemšanas kārtību, jo apmācību izmaksu segšanai ir paredzēts arī privātais finansējums, kas nozīmētu, ka komersanti projekta īstenošanas laikā 100% apmērā finansē savu darbinieku apmācības un pēc attiecināmo izmaksu apstiprināšanas no CFLA puses, nozaru asociācija (kā finansējuma saņēmējs) izmaksā komersantam atbilstošo atbalsta finansējuma daļu (atkarībā no piešķirtās atbalsta intensitātes).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Paula Šimkuse (LTRK)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šobrīd noteikumu projekta anotācijā minētās darbības ir saistītas ar tiešo apmācību nodrošināšanas procesu, un nav saistītas ar “Informatīvajiem pasākumiem”, kuriem ir cita veida darbības, kas norādītas citā LTRK priekšlikumā, LTRK aicina dzēst no noteikumu projekta anotācijas šo rindkopu: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“maksa par materiāliem un pakalpojumiem, kas tieši saistīti ar apmācību kursiem, sertifikācijas un eksaminācijas izmaksas, tulku un tulkotāju pakalpojumu izmaksas, tiešsaistes platformu abonementu izmaksas;”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Paula Šimkuse (LTRK)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22-TA-593</w:t>
    </w:r>
    <w:r>
      <w:br/>
    </w:r>
    <w:r w:rsidR="00000000" w:rsidRPr="00000000" w:rsidDel="00000000">
      <w:rPr>
        <w:rtl w:val="0"/>
      </w:rPr>
      <w:t xml:space="preserve">Izdrukāts 28.04.2023. 15.06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22-TA-593</w:t>
    </w:r>
    <w:r>
      <w:br/>
    </w:r>
    <w:r w:rsidR="00000000" w:rsidRPr="00000000" w:rsidDel="00000000">
      <w:rPr>
        <w:rtl w:val="0"/>
      </w:rPr>
      <w:t xml:space="preserve">Izdrukāts 28.04.2023. 15.06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Atzinumi_22-TA-593.docx</dc:title>
</cp:coreProperties>
</file>

<file path=docProps/custom.xml><?xml version="1.0" encoding="utf-8"?>
<Properties xmlns="http://schemas.openxmlformats.org/officeDocument/2006/custom-properties" xmlns:vt="http://schemas.openxmlformats.org/officeDocument/2006/docPropsVTypes"/>
</file>