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617 “Tiesību akta projekta sākotnējās ietekmes izvērtēšanas kārtība” (turpmāk – noteikumi Nr. 617) nosaka ietekmes izvērtēšanas kārtību. Noteikumi Nr. 617 arī paredz administratīvā sloga novērtējumu tikai gadījumos, kad tiesību aktā ir noteikti informācijas sniegšanas pienākumi. Šī noteikumu projekta ietvaros informācijas sniegšanas pienākumi netiek mainīti (izņemot 1.2. apakšpunktā noteikto, tomēr minētais pienākums sniegt informāciju ir noteikts Būvniecības likuma 19.</w:t>
            </w:r>
            <w:r w:rsidR="00000000" w:rsidRPr="00000000" w:rsidDel="00000000">
              <w:rPr>
                <w:vertAlign w:val="superscript"/>
                <w:rtl w:val="0"/>
              </w:rPr>
              <w:t xml:space="preserve">1</w:t>
            </w:r>
            <w:r w:rsidR="00000000" w:rsidRPr="00000000" w:rsidDel="00000000">
              <w:rPr>
                <w:rtl w:val="0"/>
              </w:rPr>
              <w:t xml:space="preserve"> punkta otrajā daļā), līdz ar ko anotācijas otrajā sadaļā apraksts par administratīvā sloga ietekmi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ietekmes aprakstā sniegto informāciju par administratīvā sloga ietekmi uz fiziskām un juridiskām personām ietvert anotācijas 1. sadaļā pie problēmu 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