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izglītības kvalitātes monitoringa sistēmas (turpmāk – IKMS) attīstība izglītības kvalitātes uzraudzībai, novērtēšanai un nodrošināšanai valsts, pašvaldības un izglītības iestādes līmenī, kā arī datu pratības kapacitātes stiprināšana pilnvērtīgai IKMS lietošanai datos balstītiem lēmumiem izglītības kvalitātes uzraudzībai, novērtēšanai un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mērķis ir izglītības kvalitātes monitoringa sistēmas (turpmāk – IKMS) attīstība izglītības kvalitātes uzraudzībai, novērtēšanai un nodrošināšanai valsts, pašvaldības un izglītības iestādes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turpmākajos MK noteikumos pašvaldības netiek pieminētas, kā sadarbības partneri un netiek paredzēts pašvaldībām  finansējums plānoto mērķu sasniegšanai.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projektu īsteno sadarbībā ar Izglītības kvalitātes valsts dienestu, Valsts izglītības satura centru, Akadēmiskās informācijas centru.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13.punktu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projektu īsteno sadarbībā ar Izglītības kvalitātes valsts dienestu, Valsts izglītības satura centru, Akadēmiskās informācijas centru un pašvaldībām, kā arī norādīt, kuru atbalstāmo darbību īstenošanā iesaistīsies norādītie partneri, ieskaitot pašavladības.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finansējuma saņēmēja un uzraugošo iestāžu pusē, kā arī administratīvo slogu, kas nepieciešams vienkāršoto izmaksu metodikas izstrādei lūdzam pilnveidot metodiku un sadalījumu starp atlīdzības un pakalpojumu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apjomīgo projekta finansējumu, lūdzam MKN projektā noteikt novirzāmā finansējuma īpatsvaru vai procentuālos ierobežojumus izmaksu pozīcijām, sadarbības partneriem ta</w:t>
            </w:r>
            <w:r w:rsidR="00000000" w:rsidRPr="00000000" w:rsidDel="00000000">
              <w:rPr>
                <w:b w:val="1"/>
                <w:rtl w:val="0"/>
              </w:rPr>
              <w:t xml:space="preserve">i skaitā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tiešās attiecināmās izmaksas, kas ir tieši saistītas ar projekta darbību īstenošanu un nepieciešamas projekta rezultātu sasniegšanai, un šī saistība ir skaidri saprotama un pierādāma;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izvērtēt iespējami plašāku vienkāršoto izmaksu piemērošanu.</w:t>
            </w:r>
            <w:r w:rsidR="00000000" w:rsidRPr="00000000" w:rsidDel="00000000">
              <w:rPr>
                <w:rtl w:val="0"/>
              </w:rPr>
              <w:t xml:space="preserve"> Piemērojot vienkāršoto izmaksu piemērošanu samazinās administratīvais slogs.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projekta īstenošanas personāla atlīdzības izmaksas šo noteikumu </w:t>
            </w:r>
            <w:r w:rsidR="00000000" w:rsidRPr="00000000" w:rsidDel="00000000">
              <w:rPr>
                <w:rtl w:val="0"/>
              </w:rPr>
              <w:t xml:space="preserve">20.1.</w:t>
            </w:r>
            <w:r w:rsidR="00000000" w:rsidRPr="00000000" w:rsidDel="00000000">
              <w:rPr>
                <w:rtl w:val="0"/>
              </w:rPr>
              <w:t xml:space="preserve"> , </w:t>
            </w:r>
            <w:r w:rsidR="00000000" w:rsidRPr="00000000" w:rsidDel="00000000">
              <w:rPr>
                <w:rtl w:val="0"/>
              </w:rPr>
              <w:t xml:space="preserve">20.2. </w:t>
            </w:r>
            <w:r w:rsidR="00000000" w:rsidRPr="00000000" w:rsidDel="00000000">
              <w:rPr>
                <w:rtl w:val="0"/>
              </w:rPr>
              <w:t xml:space="preserve"> ​​​​​​, </w:t>
            </w:r>
            <w:r w:rsidR="00000000" w:rsidRPr="00000000" w:rsidDel="00000000">
              <w:rPr>
                <w:rtl w:val="0"/>
              </w:rPr>
              <w:t xml:space="preserve">20.3. </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 </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20.7. </w:t>
            </w:r>
            <w:r w:rsidR="00000000" w:rsidRPr="00000000" w:rsidDel="00000000">
              <w:rPr>
                <w:rtl w:val="0"/>
              </w:rPr>
              <w:t xml:space="preserve">apakšpunkt</w:t>
            </w:r>
            <w:r w:rsidR="00000000" w:rsidRPr="00000000" w:rsidDel="00000000">
              <w:rPr>
                <w:rtl w:val="0"/>
              </w:rPr>
              <w:t xml:space="preserve">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protokollēmumā ir norādīts , ka "Izglītības un zinātnes ministrijai līdz 2025. gada 30. jūnijam nodrošināt atbilstošas vienkāršoto izmaksu metodikas izstrādi un apstiprināšanu 4.2.2.4. pasākuma projekta vadības un īstenošanas personāla izmaksām" un MK noteikumu 22.1.2. apakšpunktā nav minēts, k</w:t>
            </w:r>
            <w:r w:rsidR="00000000" w:rsidRPr="00000000" w:rsidDel="00000000">
              <w:rPr>
                <w:b w:val="1"/>
                <w:rtl w:val="0"/>
              </w:rPr>
              <w:t xml:space="preserve">a sadarbības partneru personāla izmaksām tiks ievēroti tie paši attiecināšanas principi kā finansējuma saņēmēja personāla vadības un īstenošanas personālam izmaksām, vēršam uzmanību, ka uz risku, ka šāda veidā netiek nodrošināta vienota un vienlīdzīga pieeja personāla izmaksu segšanai.</w:t>
            </w:r>
            <w:r w:rsidR="00000000" w:rsidRPr="00000000" w:rsidDel="00000000">
              <w:rPr>
                <w:rtl w:val="0"/>
              </w:rPr>
              <w:t xml:space="preserve"> Lūdzam nodrošināt, ka arī sadarbības partneru </w:t>
            </w:r>
            <w:r w:rsidR="00000000" w:rsidRPr="00000000" w:rsidDel="00000000">
              <w:rPr>
                <w:b w:val="1"/>
                <w:rtl w:val="0"/>
              </w:rPr>
              <w:t xml:space="preserve">tai skaitā pašvaldību  </w:t>
            </w:r>
            <w:r w:rsidR="00000000" w:rsidRPr="00000000" w:rsidDel="00000000">
              <w:rPr>
                <w:rtl w:val="0"/>
              </w:rPr>
              <w:t xml:space="preserve">personāla izmaksas tiks attiecinātas atbilstoši vienkāršoto izmaksu metodikai, ko paredz izstrādāt IZM.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 pienākumu finansējuma saņēmējam pēc projekta beigām nodrošināt ieguldījumu ilgtspēju. , ņemot vērā, ka pasākuma ietvaros paredzēta jaunu rīku izstrāde, datu apmaiņas risinājumu izstrāde, VIIS pilnveide u.c. tehniski risinājumi ilgtermiņa lietošanai izglītības kvalitātes monitoringa sistēmas ietvaros, kā arī to, ka projekta iesniegumu vērtēšanas kritēriju komplekts paredz ilgtspējas nosacījumu.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06.03.2024.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06.03.2024.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