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Iekšlietu ministrijas sagatavotais likumprojekts ”Grozījumi Civilās aizsardzības un katastrofas pārvaldīšanas likumā”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piedāvā projektā paredzēto likuma 7.</w:t>
            </w:r>
            <w:r w:rsidR="00000000" w:rsidRPr="00000000" w:rsidDel="00000000">
              <w:rPr>
                <w:vertAlign w:val="superscript"/>
                <w:rtl w:val="0"/>
              </w:rPr>
              <w:t xml:space="preserve">1</w:t>
            </w:r>
            <w:r w:rsidR="00000000" w:rsidRPr="00000000" w:rsidDel="00000000">
              <w:rPr>
                <w:rtl w:val="0"/>
              </w:rPr>
              <w:t xml:space="preserve">panta saturu izvērtēt un strukturāli sadalīt atbilstoši Civilās aizsardzības un katastrofas pārvaldīšanas likumā (turpmāk – likums) izveidotajai normu struktūrai, piemēram, ja tiesiskais regulējums par pašvaldību kompetenci ir noteikts likuma 11. pantā, tad arī pašvaldību kompetenci patvertņu izveidošanā noteikt šajā pantā. Tādējādi jaunās normas būs pārskatāmākas un vieglāk uztveramas. Tieslietu ministrija tāpat arī var pieļaut, ka patvertņu izvietojums varētu būt civilās aizsardzības plānos iekļaujams jautājums. Vienlaikus piedāvājam vispārīgāk rakstīt atbildīgās personas, jo, piemēram, daudzīvokļu mājās nebūs “objekta īpašnieks”, arī valsts īpašuma objektiem korekti jānorāda atbildīgās personas. Ņemot vērā, ka patvertņu izbūve dažādām personām radīs papildu finansiālo slogu, nepieciešamais regulējums jānosaka precīzi.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08.07.2024.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08.07.2024.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Atzinumi_24-TA-287.docx</dc:title>
</cp:coreProperties>
</file>

<file path=docProps/custom.xml><?xml version="1.0" encoding="utf-8"?>
<Properties xmlns="http://schemas.openxmlformats.org/officeDocument/2006/custom-properties" xmlns:vt="http://schemas.openxmlformats.org/officeDocument/2006/docPropsVTypes"/>
</file>