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4046E" w14:textId="77777777" w:rsidR="00EB26C4" w:rsidRDefault="00EB26C4" w:rsidP="003A78B2">
      <w:pPr>
        <w:jc w:val="both"/>
        <w:rPr>
          <w:rFonts w:eastAsia="Times New Roman"/>
          <w:lang w:val="en-US" w:eastAsia="lv-LV"/>
        </w:rPr>
      </w:pPr>
      <w:r>
        <w:rPr>
          <w:rFonts w:eastAsia="Times New Roman"/>
          <w:b/>
          <w:bCs/>
          <w:lang w:val="en-US" w:eastAsia="lv-LV"/>
        </w:rPr>
        <w:t>From:</w:t>
      </w:r>
      <w:r>
        <w:rPr>
          <w:rFonts w:eastAsia="Times New Roman"/>
          <w:lang w:val="en-US" w:eastAsia="lv-LV"/>
        </w:rPr>
        <w:t xml:space="preserve"> Arta </w:t>
      </w:r>
      <w:proofErr w:type="spellStart"/>
      <w:r>
        <w:rPr>
          <w:rFonts w:eastAsia="Times New Roman"/>
          <w:lang w:val="en-US" w:eastAsia="lv-LV"/>
        </w:rPr>
        <w:t>Puriņa</w:t>
      </w:r>
      <w:proofErr w:type="spellEnd"/>
      <w:r>
        <w:rPr>
          <w:rFonts w:eastAsia="Times New Roman"/>
          <w:lang w:val="en-US" w:eastAsia="lv-LV"/>
        </w:rPr>
        <w:t xml:space="preserve"> &lt;Arta.Purina@tm.gov.lv&gt;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t>
      </w:r>
      <w:proofErr w:type="spellStart"/>
      <w:r>
        <w:rPr>
          <w:rFonts w:eastAsia="Times New Roman"/>
          <w:lang w:val="en-US" w:eastAsia="lv-LV"/>
        </w:rPr>
        <w:t>otrdiena</w:t>
      </w:r>
      <w:proofErr w:type="spellEnd"/>
      <w:r>
        <w:rPr>
          <w:rFonts w:eastAsia="Times New Roman"/>
          <w:lang w:val="en-US" w:eastAsia="lv-LV"/>
        </w:rPr>
        <w:t xml:space="preserve">, 2021. </w:t>
      </w:r>
      <w:proofErr w:type="spellStart"/>
      <w:r>
        <w:rPr>
          <w:rFonts w:eastAsia="Times New Roman"/>
          <w:lang w:val="en-US" w:eastAsia="lv-LV"/>
        </w:rPr>
        <w:t>gada</w:t>
      </w:r>
      <w:proofErr w:type="spellEnd"/>
      <w:r>
        <w:rPr>
          <w:rFonts w:eastAsia="Times New Roman"/>
          <w:lang w:val="en-US" w:eastAsia="lv-LV"/>
        </w:rPr>
        <w:t xml:space="preserve"> 29. </w:t>
      </w:r>
      <w:proofErr w:type="spellStart"/>
      <w:r>
        <w:rPr>
          <w:rFonts w:eastAsia="Times New Roman"/>
          <w:lang w:val="en-US" w:eastAsia="lv-LV"/>
        </w:rPr>
        <w:t>jūnijs</w:t>
      </w:r>
      <w:proofErr w:type="spellEnd"/>
      <w:r>
        <w:rPr>
          <w:rFonts w:eastAsia="Times New Roman"/>
          <w:lang w:val="en-US" w:eastAsia="lv-LV"/>
        </w:rPr>
        <w:t xml:space="preserve"> 14:54</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&lt;Pasts@fm.gov.lv&gt;; fid@fid.gov.lv; fktk@fktk.lv; info@bank.lv; info@financelatvia.eu</w:t>
      </w:r>
      <w:r>
        <w:rPr>
          <w:rFonts w:eastAsia="Times New Roman"/>
          <w:lang w:val="en-US" w:eastAsia="lv-LV"/>
        </w:rPr>
        <w:br/>
      </w:r>
      <w:r>
        <w:rPr>
          <w:rFonts w:eastAsia="Times New Roman"/>
          <w:b/>
          <w:bCs/>
          <w:lang w:val="en-US" w:eastAsia="lv-LV"/>
        </w:rPr>
        <w:t>Cc:</w:t>
      </w:r>
      <w:r>
        <w:rPr>
          <w:rFonts w:eastAsia="Times New Roman"/>
          <w:lang w:val="en-US" w:eastAsia="lv-LV"/>
        </w:rPr>
        <w:t xml:space="preserve"> Zanda </w:t>
      </w:r>
      <w:proofErr w:type="spellStart"/>
      <w:r>
        <w:rPr>
          <w:rFonts w:eastAsia="Times New Roman"/>
          <w:lang w:val="en-US" w:eastAsia="lv-LV"/>
        </w:rPr>
        <w:t>Stara</w:t>
      </w:r>
      <w:proofErr w:type="spellEnd"/>
      <w:r>
        <w:rPr>
          <w:rFonts w:eastAsia="Times New Roman"/>
          <w:lang w:val="en-US" w:eastAsia="lv-LV"/>
        </w:rPr>
        <w:t xml:space="preserve"> &lt;Zanda.Stara@TM.GOV.LV&gt;; Linda </w:t>
      </w:r>
      <w:proofErr w:type="spellStart"/>
      <w:r>
        <w:rPr>
          <w:rFonts w:eastAsia="Times New Roman"/>
          <w:lang w:val="en-US" w:eastAsia="lv-LV"/>
        </w:rPr>
        <w:t>Upīte</w:t>
      </w:r>
      <w:proofErr w:type="spellEnd"/>
      <w:r>
        <w:rPr>
          <w:rFonts w:eastAsia="Times New Roman"/>
          <w:lang w:val="en-US" w:eastAsia="lv-LV"/>
        </w:rPr>
        <w:t xml:space="preserve"> &lt;Linda.Upite@tm.gov.lv&gt;; </w:t>
      </w:r>
      <w:proofErr w:type="spellStart"/>
      <w:r>
        <w:rPr>
          <w:rFonts w:eastAsia="Times New Roman"/>
          <w:lang w:val="en-US" w:eastAsia="lv-LV"/>
        </w:rPr>
        <w:t>Sandis</w:t>
      </w:r>
      <w:proofErr w:type="spellEnd"/>
      <w:r>
        <w:rPr>
          <w:rFonts w:eastAsia="Times New Roman"/>
          <w:lang w:val="en-US" w:eastAsia="lv-LV"/>
        </w:rPr>
        <w:t xml:space="preserve"> </w:t>
      </w:r>
      <w:proofErr w:type="spellStart"/>
      <w:r>
        <w:rPr>
          <w:rFonts w:eastAsia="Times New Roman"/>
          <w:lang w:val="en-US" w:eastAsia="lv-LV"/>
        </w:rPr>
        <w:t>Vilcāns</w:t>
      </w:r>
      <w:proofErr w:type="spellEnd"/>
      <w:r>
        <w:rPr>
          <w:rFonts w:eastAsia="Times New Roman"/>
          <w:lang w:val="en-US" w:eastAsia="lv-LV"/>
        </w:rPr>
        <w:t xml:space="preserve"> &lt;Sandis.Vilcans@tm.gov.lv&gt;; Egita Šķibele &lt;egita.skibele@fm.gov.lv&gt;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likumprojekta</w:t>
      </w:r>
      <w:proofErr w:type="spellEnd"/>
      <w:r>
        <w:rPr>
          <w:rFonts w:eastAsia="Times New Roman"/>
          <w:lang w:val="en-US" w:eastAsia="lv-LV"/>
        </w:rPr>
        <w:t xml:space="preserve"> "</w:t>
      </w:r>
      <w:proofErr w:type="spellStart"/>
      <w:r>
        <w:rPr>
          <w:rFonts w:eastAsia="Times New Roman"/>
          <w:lang w:val="en-US" w:eastAsia="lv-LV"/>
        </w:rPr>
        <w:t>Kolektīvās</w:t>
      </w:r>
      <w:proofErr w:type="spellEnd"/>
      <w:r>
        <w:rPr>
          <w:rFonts w:eastAsia="Times New Roman"/>
          <w:lang w:val="en-US" w:eastAsia="lv-LV"/>
        </w:rPr>
        <w:t xml:space="preserve"> </w:t>
      </w:r>
      <w:proofErr w:type="spellStart"/>
      <w:r>
        <w:rPr>
          <w:rFonts w:eastAsia="Times New Roman"/>
          <w:lang w:val="en-US" w:eastAsia="lv-LV"/>
        </w:rPr>
        <w:t>finansēšanas</w:t>
      </w:r>
      <w:proofErr w:type="spellEnd"/>
      <w:r>
        <w:rPr>
          <w:rFonts w:eastAsia="Times New Roman"/>
          <w:lang w:val="en-US" w:eastAsia="lv-LV"/>
        </w:rPr>
        <w:t xml:space="preserve"> </w:t>
      </w:r>
      <w:proofErr w:type="spellStart"/>
      <w:r>
        <w:rPr>
          <w:rFonts w:eastAsia="Times New Roman"/>
          <w:lang w:val="en-US" w:eastAsia="lv-LV"/>
        </w:rPr>
        <w:t>pakalpojumu</w:t>
      </w:r>
      <w:proofErr w:type="spellEnd"/>
      <w:r>
        <w:rPr>
          <w:rFonts w:eastAsia="Times New Roman"/>
          <w:lang w:val="en-US" w:eastAsia="lv-LV"/>
        </w:rPr>
        <w:t xml:space="preserve"> </w:t>
      </w:r>
      <w:proofErr w:type="spellStart"/>
      <w:r>
        <w:rPr>
          <w:rFonts w:eastAsia="Times New Roman"/>
          <w:lang w:val="en-US" w:eastAsia="lv-LV"/>
        </w:rPr>
        <w:t>likums</w:t>
      </w:r>
      <w:proofErr w:type="spellEnd"/>
      <w:r>
        <w:rPr>
          <w:rFonts w:eastAsia="Times New Roman"/>
          <w:lang w:val="en-US" w:eastAsia="lv-LV"/>
        </w:rPr>
        <w:t xml:space="preserve">" </w:t>
      </w:r>
      <w:proofErr w:type="spellStart"/>
      <w:r>
        <w:rPr>
          <w:rFonts w:eastAsia="Times New Roman"/>
          <w:lang w:val="en-US" w:eastAsia="lv-LV"/>
        </w:rPr>
        <w:t>elektronisko</w:t>
      </w:r>
      <w:proofErr w:type="spellEnd"/>
      <w:r>
        <w:rPr>
          <w:rFonts w:eastAsia="Times New Roman"/>
          <w:lang w:val="en-US" w:eastAsia="lv-LV"/>
        </w:rPr>
        <w:t xml:space="preserve"> </w:t>
      </w:r>
      <w:proofErr w:type="spellStart"/>
      <w:r>
        <w:rPr>
          <w:rFonts w:eastAsia="Times New Roman"/>
          <w:lang w:val="en-US" w:eastAsia="lv-LV"/>
        </w:rPr>
        <w:t>saskaņošanu</w:t>
      </w:r>
      <w:proofErr w:type="spellEnd"/>
    </w:p>
    <w:p w14:paraId="783AF854" w14:textId="77777777" w:rsidR="00EB26C4" w:rsidRDefault="00EB26C4" w:rsidP="003A78B2">
      <w:pPr>
        <w:jc w:val="both"/>
      </w:pPr>
    </w:p>
    <w:p w14:paraId="09559ED6" w14:textId="77777777" w:rsidR="00EB26C4" w:rsidRDefault="00EB26C4" w:rsidP="003A78B2">
      <w:pPr>
        <w:jc w:val="both"/>
        <w:rPr>
          <w:sz w:val="24"/>
          <w:szCs w:val="24"/>
        </w:rPr>
      </w:pPr>
      <w:r>
        <w:rPr>
          <w:sz w:val="24"/>
          <w:szCs w:val="24"/>
        </w:rPr>
        <w:t>Labdien!</w:t>
      </w:r>
    </w:p>
    <w:p w14:paraId="34BB3602" w14:textId="77777777" w:rsidR="00EB26C4" w:rsidRDefault="00EB26C4" w:rsidP="003A78B2">
      <w:pPr>
        <w:jc w:val="both"/>
        <w:rPr>
          <w:sz w:val="24"/>
          <w:szCs w:val="24"/>
        </w:rPr>
      </w:pPr>
      <w:r>
        <w:rPr>
          <w:sz w:val="24"/>
          <w:szCs w:val="24"/>
        </w:rPr>
        <w:t>Tieslietu ministrija ir atkārtoti izvērtējusi Finanšu ministrijas precizēto likumprojektu “Kolektīvās finansēšanas pakalpojumu likums” (turpmāk – projekts), tā sākotnējās ietekmes novērtējuma ziņojumu (anotāciju) un izziņu par atzinumos izteiktajiem iebildumiem un atbalsta tā tālāku virzību, izsakot šādus iebildumus.</w:t>
      </w:r>
    </w:p>
    <w:p w14:paraId="0D13C265" w14:textId="77777777" w:rsidR="00EB26C4" w:rsidRDefault="00EB26C4" w:rsidP="003A78B2">
      <w:pPr>
        <w:jc w:val="both"/>
      </w:pPr>
      <w:r>
        <w:rPr>
          <w:color w:val="000000"/>
          <w:sz w:val="24"/>
          <w:szCs w:val="24"/>
        </w:rPr>
        <w:t>1. Projekta 9. panta pirmajā daļā norādīts, ka "Komisija saskaņā ar Regulas Nr. 2020/1503, šā likuma un citu Eiropas Savienībā tieši piemērojamo normatīvo aktu prasībām kolektīvās finansēšanas jomā veic to kolektīvās finansēšanas pakalpojumu sniedzēju darbības uzraudzību, kuri saņēmuši Komisijas izsniegtu darbības atļauju". Lūdzam projekta anotācijā skaidrot, kā notiek faktisko pakalpojumu sniedzēju kontrole (uzraudzība), kuri nav saņēmuši minēto atļauju. Projekta anotācijā ir ietverts plašs skaidrojums, cik šāda nereģistrēta darbība ir bīstama. </w:t>
      </w:r>
    </w:p>
    <w:p w14:paraId="4A156419" w14:textId="77777777" w:rsidR="00EB26C4" w:rsidRDefault="00EB26C4" w:rsidP="003A78B2">
      <w:pPr>
        <w:jc w:val="both"/>
        <w:rPr>
          <w:color w:val="000000"/>
          <w:sz w:val="24"/>
          <w:szCs w:val="24"/>
        </w:rPr>
      </w:pPr>
      <w:r>
        <w:rPr>
          <w:color w:val="000000"/>
          <w:sz w:val="24"/>
          <w:szCs w:val="24"/>
        </w:rPr>
        <w:t>2. Lūdzam nodrošināt, ka projekta 10. pantā paredzēto pasākumu saturs pilnībā atbilst Eiropas Parlamenta un Padomes 2020. gada 7. oktobra regulā Nr. 2020/1503 par Eiropas kolektīvās finansēšanas pakalpojumu sniedzējiem uzņēmējdarbībai un ar ko groza Regulu (ES) 2017/1129 un Direktīvu (ES) 2019/1937 (turpmāk – Regula) paredzētajiem pasākumiem, un ietvert atbilstošu skaidrojumu arī projekta anotācijā (proti, salīdzināt Regulas prasības ar projekta regulējumu; norādīt "inspekcijas" un "izmeklēšanas" izpratni projektā). Nav skaidrs, kā tiks īstenota iekļūšana telpās un vai to varēs īstenot piespiedu kārtā. </w:t>
      </w:r>
    </w:p>
    <w:p w14:paraId="31ADF0E5" w14:textId="77777777" w:rsidR="00EB26C4" w:rsidRDefault="00EB26C4" w:rsidP="003A78B2">
      <w:pPr>
        <w:jc w:val="both"/>
        <w:rPr>
          <w:color w:val="000000"/>
          <w:sz w:val="24"/>
          <w:szCs w:val="24"/>
        </w:rPr>
      </w:pPr>
      <w:r>
        <w:rPr>
          <w:color w:val="000000"/>
          <w:sz w:val="24"/>
          <w:szCs w:val="24"/>
        </w:rPr>
        <w:t>3. Kā norādīts iepriekšējā Tieslietu ministrijas atzinumā, nepieciešams rūpīgi izvērtēt arī to, kuri projektā paredzētie pasākumi izmantojami vispārīgajā uzraudzības procesā un kuri pasākumi izmantojami jau "sodošajā" procesā (lai arī šobrīd šiem abiem procesiem pamatā ir administratīvā procesa regulējums). Ir būtiski saprast, kurā mirklī ir sākams "sodošais" process, lai varētu piemērot tos materiālos un procesuālos priekšnoteikumus, kas ir raksturīgi sodu tiesībām. </w:t>
      </w:r>
    </w:p>
    <w:p w14:paraId="78FF448C" w14:textId="77777777" w:rsidR="00EB26C4" w:rsidRDefault="00EB26C4" w:rsidP="003A78B2">
      <w:pPr>
        <w:jc w:val="both"/>
        <w:rPr>
          <w:color w:val="000000"/>
          <w:sz w:val="24"/>
          <w:szCs w:val="24"/>
        </w:rPr>
      </w:pPr>
      <w:r>
        <w:rPr>
          <w:color w:val="000000"/>
          <w:sz w:val="24"/>
          <w:szCs w:val="24"/>
        </w:rPr>
        <w:t>Projektā kopumā ir paredzēti "uzraudzības pasākumi" (projekta 10. pants), "administratīvie pasākumi" (projekta 12. panta pirmās daļas 1. punkts) un "sankcijas" (projekta 12. panta pirmās daļas 2. punkts). Būtībā šie visi pasākumi ir "administratīvi" piespiedu pasākumi. Pieņemot, ka "sankcijas" ir sodoša rakstura pasākumi (sods), nav skaidri saprotama atšķirība starp "uzraudzības" un "administratīvajiem" pasākumiem. Projekta anotācijā nav argumentēta skaidrojuma, kā šie pasākumi tiek nošķirti un kāds ir to raksturs (mērķis).  </w:t>
      </w:r>
    </w:p>
    <w:p w14:paraId="73F5BA5F" w14:textId="77777777" w:rsidR="00EB26C4" w:rsidRDefault="00EB26C4" w:rsidP="003A78B2">
      <w:pPr>
        <w:jc w:val="both"/>
        <w:rPr>
          <w:color w:val="000000"/>
          <w:sz w:val="24"/>
          <w:szCs w:val="24"/>
        </w:rPr>
      </w:pPr>
      <w:r>
        <w:rPr>
          <w:color w:val="000000"/>
          <w:sz w:val="24"/>
          <w:szCs w:val="24"/>
        </w:rPr>
        <w:t xml:space="preserve">Piemēram, projekta 10. panta otrās daļas 1., 2. un 3. punktā ir ietverta skaidra norāde uz pamatotām aizdomām par normatīvo aktu pārkāpumiem. Tas nozīmē, ka šie pasākumi būtu īstenojami jau "sodošajā" procesā, nevis vispārīgajā uzraudzības procesā. Šādi pasākumi būtībā līdzinās sodu tiesībās pazīstamajiem procesuālajiem piespiedu līdzekļiem. Turklāt nav arī izvērtēta šo pasākumu atbilstība sodoša (krimināltiesiska) rakstura sankciju pazīmēm. Ja tie nav sodoša rakstura pasākumi, tad </w:t>
      </w:r>
      <w:r>
        <w:rPr>
          <w:color w:val="000000"/>
          <w:sz w:val="24"/>
          <w:szCs w:val="24"/>
        </w:rPr>
        <w:lastRenderedPageBreak/>
        <w:t>varētu izmantot apzīmējumu "procesuālie piespiedu pasākumi" vai tamlīdzīgi, kā arī iekļaut šo regulējumu projekta V nodaļā, kurā tad būtu apkopota "sodošā" procesa norise un pārkāpumu sekas. </w:t>
      </w:r>
    </w:p>
    <w:p w14:paraId="34FBD71B" w14:textId="77777777" w:rsidR="00EB26C4" w:rsidRDefault="00EB26C4" w:rsidP="003A78B2">
      <w:pPr>
        <w:jc w:val="both"/>
        <w:rPr>
          <w:color w:val="000000"/>
          <w:sz w:val="24"/>
          <w:szCs w:val="24"/>
        </w:rPr>
      </w:pPr>
      <w:r>
        <w:rPr>
          <w:color w:val="000000"/>
          <w:sz w:val="24"/>
          <w:szCs w:val="24"/>
        </w:rPr>
        <w:t xml:space="preserve">Savukārt projekta 12. panta pirmās daļas 1. punktā iekļautie "administratīvie pasākumi" </w:t>
      </w:r>
      <w:proofErr w:type="spellStart"/>
      <w:r>
        <w:rPr>
          <w:color w:val="000000"/>
          <w:sz w:val="24"/>
          <w:szCs w:val="24"/>
        </w:rPr>
        <w:t>pirmsšķietami</w:t>
      </w:r>
      <w:proofErr w:type="spellEnd"/>
      <w:r>
        <w:rPr>
          <w:color w:val="000000"/>
          <w:sz w:val="24"/>
          <w:szCs w:val="24"/>
        </w:rPr>
        <w:t>  pamatā varētu būt sodoša rakstura sankcijas (informācijas publiskošana citos Finanšu ministrijas sagatavotajos likumprojektos pamatā tiek vērtēts kā sodoša rakstura sankcija, tiesību ierobežošana arī varētu būt sodoša rakstura sankcija, turklāt nav skaidras šādu pasākumu iespējamās robežas laikā). Līdz ar to projekta anotācijā nepieciešams argumentēti izvērtēt administratīvo pasākumu atbilstību sodoša rakstura sankcijām, ievērojot Tieslietu ministrijas iepriekšējā atzinumā norādītos kritērijus. Tāpat no projekta 12. panta nav skaidrs, kādos gadījumos tiktu piemēroti šie administratīvie pasākumi un kā tie mijiedarbojas ar sankcijām (piemēram, vai tiem ir piemērojami līdzīgi kā papildsodi administratīvā pārkāpuma procesā).   </w:t>
      </w:r>
    </w:p>
    <w:p w14:paraId="3C7805BE" w14:textId="77777777" w:rsidR="00EB26C4" w:rsidRDefault="00EB26C4" w:rsidP="003A78B2">
      <w:pPr>
        <w:jc w:val="both"/>
        <w:rPr>
          <w:color w:val="000000"/>
          <w:sz w:val="24"/>
          <w:szCs w:val="24"/>
        </w:rPr>
      </w:pPr>
      <w:r>
        <w:rPr>
          <w:color w:val="000000"/>
          <w:sz w:val="24"/>
          <w:szCs w:val="24"/>
        </w:rPr>
        <w:t>4. Lūdzam pārskatīt un precizēt projekta 12. pantu. </w:t>
      </w:r>
    </w:p>
    <w:p w14:paraId="6381292E" w14:textId="77777777" w:rsidR="00EB26C4" w:rsidRDefault="00EB26C4" w:rsidP="003A78B2">
      <w:pPr>
        <w:jc w:val="both"/>
        <w:rPr>
          <w:color w:val="000000"/>
          <w:sz w:val="24"/>
          <w:szCs w:val="24"/>
        </w:rPr>
      </w:pPr>
      <w:r>
        <w:rPr>
          <w:color w:val="000000"/>
          <w:sz w:val="24"/>
          <w:szCs w:val="24"/>
        </w:rPr>
        <w:t>4.1. Projekta 12. panta nosaukums – "Atbildība par noteikto prasību neievērošanu" – neatklāj panta saturu un nav saskaņots ar projekta V nodaļas nosaukumu (nošķir atbildību un darbības atļaujas anulēšanu, kas arī varētu būt atbildības sastāvdaļa). Projekta 12. panta nosaukumā varētu ietvert atsauci uz kolektīvās finansēšanas pakalpojumu jomu. Savukārt nodaļas nosaukumam jāaptver visi nodaļā iekļautie panti; tas nevar būt identisks ar kāda no nodaļas panta nosaukumu. </w:t>
      </w:r>
    </w:p>
    <w:p w14:paraId="6D15BDC6" w14:textId="77777777" w:rsidR="00EB26C4" w:rsidRDefault="00EB26C4" w:rsidP="003A78B2">
      <w:pPr>
        <w:jc w:val="both"/>
        <w:rPr>
          <w:color w:val="000000"/>
          <w:sz w:val="24"/>
          <w:szCs w:val="24"/>
        </w:rPr>
      </w:pPr>
      <w:r>
        <w:rPr>
          <w:color w:val="000000"/>
          <w:sz w:val="24"/>
          <w:szCs w:val="24"/>
        </w:rPr>
        <w:t xml:space="preserve">4.2. Projekta 12. panta pirmajā daļā uzskaitītie pārkāpumi dažkārt formulēti pārāk vispārīgi vai redakcionāli (stilistiski) neveiksmīgi (piemēram, prasības, kas noteiktas [..] par </w:t>
      </w:r>
      <w:proofErr w:type="spellStart"/>
      <w:r>
        <w:rPr>
          <w:color w:val="000000"/>
          <w:sz w:val="24"/>
          <w:szCs w:val="24"/>
        </w:rPr>
        <w:t>prudenciālajām</w:t>
      </w:r>
      <w:proofErr w:type="spellEnd"/>
      <w:r>
        <w:rPr>
          <w:color w:val="000000"/>
          <w:sz w:val="24"/>
          <w:szCs w:val="24"/>
        </w:rPr>
        <w:t xml:space="preserve"> prasībām; par uzraudzību, par informāciju klientiem, par ziņojumdēli u. tml.). Kopumā 12. pants ir sarežģīti veidots un grūti uztverams. Ieteicams pārdomāt arī panta struktūru kopumā. </w:t>
      </w:r>
    </w:p>
    <w:p w14:paraId="761E3CA1" w14:textId="77777777" w:rsidR="00EB26C4" w:rsidRDefault="00EB26C4" w:rsidP="003A78B2">
      <w:pPr>
        <w:jc w:val="both"/>
        <w:rPr>
          <w:color w:val="000000"/>
          <w:sz w:val="24"/>
          <w:szCs w:val="24"/>
        </w:rPr>
      </w:pPr>
      <w:r>
        <w:rPr>
          <w:color w:val="000000"/>
          <w:sz w:val="24"/>
          <w:szCs w:val="24"/>
        </w:rPr>
        <w:t>4.3. Pantā paredzētajiem tiesību ierobežošanas pasākumiem vajadzētu būt terminētiem, ierobežotiem laikā. Šādam termiņam jābūt tieši noteiktam likumā vai citādi jāspēj izsecināt ierobežojuma ilgumu. Pēdējā gadījumā ietverams atbilstošs skaidrojums projekta anotācijā. </w:t>
      </w:r>
    </w:p>
    <w:p w14:paraId="0108D551" w14:textId="77777777" w:rsidR="00EB26C4" w:rsidRDefault="00EB26C4" w:rsidP="003A78B2">
      <w:pPr>
        <w:jc w:val="both"/>
        <w:rPr>
          <w:color w:val="000000"/>
          <w:sz w:val="24"/>
          <w:szCs w:val="24"/>
        </w:rPr>
      </w:pPr>
      <w:r>
        <w:rPr>
          <w:color w:val="000000"/>
          <w:sz w:val="24"/>
          <w:szCs w:val="24"/>
        </w:rPr>
        <w:t>4.4. Aicinām projekta 12. pantā lietoto terminu "soda nauda" aizstāt ar sodu tiesībās ierasto terminu "naudas sods". Kā norādīts juridiskajā literatūrā, šobrīd vairs nav ne praktiskas, ne teorētiskas nozīmes vienu un to pašu institūtu – valsts institūcijas piemērotu pienākumu maksāt naudu par tiesību normas pārkāpšanu – dēvēt atšķirīgi</w:t>
      </w:r>
      <w:r>
        <w:rPr>
          <w:i/>
          <w:iCs/>
          <w:color w:val="000000"/>
          <w:sz w:val="24"/>
          <w:szCs w:val="24"/>
        </w:rPr>
        <w:t xml:space="preserve"> (</w:t>
      </w:r>
      <w:proofErr w:type="spellStart"/>
      <w:r>
        <w:rPr>
          <w:i/>
          <w:iCs/>
          <w:color w:val="000000"/>
          <w:sz w:val="24"/>
          <w:szCs w:val="24"/>
        </w:rPr>
        <w:t>Danovskis</w:t>
      </w:r>
      <w:proofErr w:type="spellEnd"/>
      <w:r>
        <w:rPr>
          <w:i/>
          <w:iCs/>
          <w:color w:val="000000"/>
          <w:sz w:val="24"/>
          <w:szCs w:val="24"/>
        </w:rPr>
        <w:t xml:space="preserve"> E. Sodu tiesību principu nozīme administratīvajās tiesībās. </w:t>
      </w:r>
      <w:proofErr w:type="spellStart"/>
      <w:r>
        <w:rPr>
          <w:i/>
          <w:iCs/>
          <w:color w:val="000000"/>
          <w:sz w:val="24"/>
          <w:szCs w:val="24"/>
        </w:rPr>
        <w:t>Grām</w:t>
      </w:r>
      <w:proofErr w:type="spellEnd"/>
      <w:r>
        <w:rPr>
          <w:i/>
          <w:iCs/>
          <w:color w:val="000000"/>
          <w:sz w:val="24"/>
          <w:szCs w:val="24"/>
        </w:rPr>
        <w:t>.: Juridisko personu publiski tiesiskā atbildība. Rīga: LU Akadēmiskais apgāds, 2018, 134. lpp.</w:t>
      </w:r>
      <w:r>
        <w:rPr>
          <w:color w:val="000000"/>
          <w:sz w:val="24"/>
          <w:szCs w:val="24"/>
        </w:rPr>
        <w:t>). Līdzīgu apsvērumu dēļ ieteicams vārdus "uzlikt [personai soda naudu]" vai "izteikt [brīdinājumu]" aizstāt ar vārdu "piemērot". </w:t>
      </w:r>
    </w:p>
    <w:p w14:paraId="4AEC3C66" w14:textId="77777777" w:rsidR="00EB26C4" w:rsidRDefault="00EB26C4" w:rsidP="003A78B2">
      <w:pPr>
        <w:jc w:val="both"/>
        <w:rPr>
          <w:color w:val="000000"/>
          <w:sz w:val="24"/>
          <w:szCs w:val="24"/>
        </w:rPr>
      </w:pPr>
      <w:r>
        <w:rPr>
          <w:color w:val="000000"/>
          <w:sz w:val="24"/>
          <w:szCs w:val="24"/>
        </w:rPr>
        <w:t>4.5. Projekta 12. panta ceturtajā daļā ir paredzētas tiesības anulēt atļauju Regulā noteiktajos gadījumos. Nav saprotams, kā šī norma ietilpst 12. panta sistēmā (proti, tā ir atbildības sastāvdaļa, administratīvs vai uzraudzības pasākums u. tml.).  </w:t>
      </w:r>
    </w:p>
    <w:p w14:paraId="63D5E2D4" w14:textId="77777777" w:rsidR="00EB26C4" w:rsidRDefault="00EB26C4" w:rsidP="003A78B2">
      <w:pPr>
        <w:jc w:val="both"/>
        <w:rPr>
          <w:color w:val="000000"/>
          <w:sz w:val="24"/>
          <w:szCs w:val="24"/>
        </w:rPr>
      </w:pPr>
      <w:r>
        <w:rPr>
          <w:color w:val="000000"/>
          <w:sz w:val="24"/>
          <w:szCs w:val="24"/>
        </w:rPr>
        <w:t xml:space="preserve">Projekta 12. panta pirmās daļas 2. punktā kā viena no sankcijām norādīta kolektīvā finansēšanas pakalpojumu sniedzēja reģistrācijas anulēšana kolektīvā finansēšanas pakalpojumu sniedzēju reģistrā saskaņā ar Regulas Nr. 2020/1503 17. panta 1. punkta pirmās daļas "d" un "f" apakšpunktu, kā arī otrās daļas "a" apakšpunktu. Lūdzam precizēt atsauci uz Regulas vienībām, kā projekta anotācijā skaidrot pastāvošo atšķirību starp Regulā noteikto atļaujas atsaukšanu un projektā minēto reģistrācijas </w:t>
      </w:r>
      <w:r>
        <w:rPr>
          <w:color w:val="000000"/>
          <w:sz w:val="24"/>
          <w:szCs w:val="24"/>
        </w:rPr>
        <w:lastRenderedPageBreak/>
        <w:t>anulēšanu. Tāpat pastāv šaubas, vai reģistrācijas anulēšana (atļaujas atsaukšana), ja tā iegūta izmantojot nelikumīgus līdzekļus, būtu uzskatāma par sankciju. Projekta anotācijā nav ietverts argumentēts vērtējums, kāpēc tieši šie gadījumi ir sankcijas. </w:t>
      </w:r>
    </w:p>
    <w:p w14:paraId="1F6BD927" w14:textId="77777777" w:rsidR="00EB26C4" w:rsidRDefault="00EB26C4" w:rsidP="003A78B2">
      <w:pPr>
        <w:jc w:val="both"/>
        <w:rPr>
          <w:color w:val="000000"/>
          <w:sz w:val="24"/>
          <w:szCs w:val="24"/>
        </w:rPr>
      </w:pPr>
      <w:r>
        <w:rPr>
          <w:color w:val="000000"/>
          <w:sz w:val="24"/>
          <w:szCs w:val="24"/>
        </w:rPr>
        <w:t>5. Lūdzam projekta anotācijā ietvert plašāku pamatojumu projekta 13. pantā paredzētajiem noilguma termiņiem. Lielais dalībnieku skaits un pārrobežu gadījumi paši par sevi varētu būt pamatojums lietas izskatīšanas ilgumam, ne tik daudz lietas ierosināšanas noilgumam. </w:t>
      </w:r>
    </w:p>
    <w:p w14:paraId="0776637F" w14:textId="77777777" w:rsidR="00EB26C4" w:rsidRDefault="00EB26C4" w:rsidP="003A78B2">
      <w:pPr>
        <w:jc w:val="both"/>
        <w:rPr>
          <w:color w:val="000000"/>
          <w:sz w:val="24"/>
          <w:szCs w:val="24"/>
        </w:rPr>
      </w:pPr>
      <w:r>
        <w:rPr>
          <w:color w:val="000000"/>
          <w:sz w:val="24"/>
          <w:szCs w:val="24"/>
        </w:rPr>
        <w:t xml:space="preserve">Vienlaikus izsakām šādus </w:t>
      </w:r>
      <w:r>
        <w:rPr>
          <w:b/>
          <w:bCs/>
          <w:color w:val="000000"/>
          <w:sz w:val="24"/>
          <w:szCs w:val="24"/>
        </w:rPr>
        <w:t>priekšlikumus</w:t>
      </w:r>
      <w:r>
        <w:rPr>
          <w:color w:val="000000"/>
          <w:sz w:val="24"/>
          <w:szCs w:val="24"/>
        </w:rPr>
        <w:t>: </w:t>
      </w:r>
    </w:p>
    <w:p w14:paraId="63D3A6B2" w14:textId="77777777" w:rsidR="00EB26C4" w:rsidRDefault="00EB26C4" w:rsidP="003A78B2">
      <w:pPr>
        <w:jc w:val="both"/>
        <w:rPr>
          <w:color w:val="000000"/>
          <w:sz w:val="24"/>
          <w:szCs w:val="24"/>
        </w:rPr>
      </w:pPr>
      <w:r>
        <w:rPr>
          <w:color w:val="000000"/>
          <w:sz w:val="24"/>
          <w:szCs w:val="24"/>
        </w:rPr>
        <w:t>1. Nav ieteicams vārdu "atbildēt" ("būt atbildīgam" u. tml.) lietot kā norādi uz to, ka personai ir pienākums kaut kā rīkoties, kaut ko nodrošināt vai tamlīdzīgi. Ar atbildību pamatā saprotama juridiskā atbildība, tostarp administratīvā atbildība (sankciju piemērošana). Līdz ar to projektā ieteicams vārdu "atbildēt" (pienākuma nozīmē) aizstāt ar citu vārdu (piemēram, "nodrošināt"). </w:t>
      </w:r>
    </w:p>
    <w:p w14:paraId="49AEF745" w14:textId="77777777" w:rsidR="00EB26C4" w:rsidRDefault="00EB26C4" w:rsidP="003A78B2">
      <w:pPr>
        <w:jc w:val="both"/>
        <w:rPr>
          <w:color w:val="000000"/>
          <w:sz w:val="24"/>
          <w:szCs w:val="24"/>
        </w:rPr>
      </w:pPr>
      <w:r>
        <w:rPr>
          <w:color w:val="000000"/>
          <w:sz w:val="24"/>
          <w:szCs w:val="24"/>
        </w:rPr>
        <w:t xml:space="preserve">2. Lūdzam projektā izvērtēt termina "darba diena" lietojumu (piemēram, projekta 10. panta otrās daļas 1. punkts). </w:t>
      </w:r>
      <w:r>
        <w:rPr>
          <w:color w:val="000000"/>
          <w:sz w:val="24"/>
          <w:szCs w:val="24"/>
          <w:lang w:eastAsia="en-GB"/>
        </w:rPr>
        <w:t>Ja ar terminu "darba diena" apzīmē dienu, kurā faktiski tiek veikts darbs, tad termiņu noteikšanai normatīvajos aktos parasti izmanto terminu "darbdiena", lietojot to kā pretstatu brīvdienai un svētku dienai (</w:t>
      </w:r>
      <w:r>
        <w:rPr>
          <w:i/>
          <w:iCs/>
          <w:color w:val="000000"/>
          <w:sz w:val="24"/>
          <w:szCs w:val="24"/>
          <w:lang w:eastAsia="en-GB"/>
        </w:rPr>
        <w:t xml:space="preserve">Broka B., </w:t>
      </w:r>
      <w:proofErr w:type="spellStart"/>
      <w:r>
        <w:rPr>
          <w:i/>
          <w:iCs/>
          <w:color w:val="000000"/>
          <w:sz w:val="24"/>
          <w:szCs w:val="24"/>
          <w:lang w:eastAsia="en-GB"/>
        </w:rPr>
        <w:t>Džohansens</w:t>
      </w:r>
      <w:proofErr w:type="spellEnd"/>
      <w:r>
        <w:rPr>
          <w:i/>
          <w:iCs/>
          <w:color w:val="000000"/>
          <w:sz w:val="24"/>
          <w:szCs w:val="24"/>
          <w:lang w:eastAsia="en-GB"/>
        </w:rPr>
        <w:t xml:space="preserve"> S. Juridisko tekstu rakstīšana un analīze. Rīga: Tiesu namu aģentūra, 2010, 27.  lpp.</w:t>
      </w:r>
      <w:r>
        <w:rPr>
          <w:color w:val="000000"/>
          <w:sz w:val="24"/>
          <w:szCs w:val="24"/>
          <w:lang w:eastAsia="en-GB"/>
        </w:rPr>
        <w:t>). </w:t>
      </w:r>
    </w:p>
    <w:p w14:paraId="5850EE87" w14:textId="77777777" w:rsidR="00EB26C4" w:rsidRDefault="00EB26C4" w:rsidP="003A78B2">
      <w:pPr>
        <w:jc w:val="both"/>
      </w:pPr>
    </w:p>
    <w:p w14:paraId="33DB906E" w14:textId="77777777" w:rsidR="00EB26C4" w:rsidRDefault="00EB26C4" w:rsidP="003A78B2">
      <w:pPr>
        <w:jc w:val="both"/>
      </w:pPr>
    </w:p>
    <w:p w14:paraId="09408835" w14:textId="77777777" w:rsidR="00EB26C4" w:rsidRDefault="00EB26C4" w:rsidP="003A78B2">
      <w:pPr>
        <w:shd w:val="clear" w:color="auto" w:fill="FFFFFF"/>
        <w:jc w:val="both"/>
        <w:rPr>
          <w:color w:val="201F1E"/>
          <w:lang w:eastAsia="lv-LV"/>
        </w:rPr>
      </w:pPr>
      <w:r>
        <w:rPr>
          <w:rFonts w:ascii="Times New Roman" w:hAnsi="Times New Roman" w:cs="Times New Roman"/>
          <w:b/>
          <w:bCs/>
          <w:color w:val="201F1E"/>
          <w:sz w:val="24"/>
          <w:szCs w:val="24"/>
          <w:lang w:eastAsia="lv-LV"/>
        </w:rPr>
        <w:t>Arta Puriņa</w:t>
      </w:r>
    </w:p>
    <w:p w14:paraId="0BB60E3B" w14:textId="77777777" w:rsidR="00EB26C4" w:rsidRDefault="00EB26C4" w:rsidP="003A78B2">
      <w:pPr>
        <w:shd w:val="clear" w:color="auto" w:fill="FFFFFF"/>
        <w:jc w:val="both"/>
        <w:rPr>
          <w:rFonts w:ascii="Times New Roman" w:hAnsi="Times New Roman" w:cs="Times New Roman"/>
          <w:color w:val="201F1E"/>
          <w:sz w:val="20"/>
          <w:szCs w:val="20"/>
          <w:lang w:eastAsia="lv-LV"/>
        </w:rPr>
      </w:pPr>
      <w:r>
        <w:rPr>
          <w:rFonts w:ascii="Times New Roman" w:hAnsi="Times New Roman" w:cs="Times New Roman"/>
          <w:color w:val="201F1E"/>
          <w:sz w:val="20"/>
          <w:szCs w:val="20"/>
          <w:lang w:eastAsia="lv-LV"/>
        </w:rPr>
        <w:t>Tieslietu ministrijas</w:t>
      </w:r>
      <w:r>
        <w:rPr>
          <w:rFonts w:ascii="Times New Roman" w:hAnsi="Times New Roman" w:cs="Times New Roman"/>
          <w:color w:val="201F1E"/>
          <w:sz w:val="20"/>
          <w:szCs w:val="20"/>
          <w:lang w:eastAsia="lv-LV"/>
        </w:rPr>
        <w:br/>
        <w:t>Civiltiesību departamenta</w:t>
      </w:r>
      <w:r>
        <w:rPr>
          <w:rFonts w:ascii="Times New Roman" w:hAnsi="Times New Roman" w:cs="Times New Roman"/>
          <w:color w:val="201F1E"/>
          <w:sz w:val="20"/>
          <w:szCs w:val="20"/>
          <w:lang w:eastAsia="lv-LV"/>
        </w:rPr>
        <w:br/>
        <w:t>Vispārējo civiltiesību nodaļas juriste</w:t>
      </w:r>
      <w:r>
        <w:rPr>
          <w:rFonts w:ascii="Times New Roman" w:hAnsi="Times New Roman" w:cs="Times New Roman"/>
          <w:color w:val="201F1E"/>
          <w:sz w:val="20"/>
          <w:szCs w:val="20"/>
          <w:lang w:eastAsia="lv-LV"/>
        </w:rPr>
        <w:br/>
        <w:t>Tālrunis: 67036819</w:t>
      </w:r>
      <w:r>
        <w:rPr>
          <w:rFonts w:ascii="Times New Roman" w:hAnsi="Times New Roman" w:cs="Times New Roman"/>
          <w:color w:val="201F1E"/>
          <w:sz w:val="20"/>
          <w:szCs w:val="20"/>
          <w:lang w:eastAsia="lv-LV"/>
        </w:rPr>
        <w:br/>
        <w:t>E-pasts: </w:t>
      </w:r>
      <w:hyperlink r:id="rId4" w:history="1">
        <w:r>
          <w:rPr>
            <w:rStyle w:val="Hyperlink"/>
            <w:rFonts w:ascii="Times New Roman" w:hAnsi="Times New Roman" w:cs="Times New Roman"/>
            <w:color w:val="0000FF"/>
            <w:sz w:val="20"/>
            <w:szCs w:val="20"/>
            <w:lang w:eastAsia="lv-LV"/>
          </w:rPr>
          <w:t>arta.purina@tm.gov.lv</w:t>
        </w:r>
      </w:hyperlink>
    </w:p>
    <w:p w14:paraId="624CB104" w14:textId="77777777" w:rsidR="00EB26C4" w:rsidRDefault="00FA1621" w:rsidP="003A78B2">
      <w:pPr>
        <w:shd w:val="clear" w:color="auto" w:fill="FFFFFF"/>
        <w:jc w:val="both"/>
        <w:rPr>
          <w:color w:val="201F1E"/>
          <w:lang w:eastAsia="lv-LV"/>
        </w:rPr>
      </w:pPr>
      <w:hyperlink r:id="rId5" w:history="1">
        <w:r w:rsidR="00EB26C4">
          <w:rPr>
            <w:rStyle w:val="Hyperlink"/>
            <w:rFonts w:ascii="Times New Roman" w:hAnsi="Times New Roman" w:cs="Times New Roman"/>
            <w:color w:val="0000FF"/>
            <w:sz w:val="20"/>
            <w:szCs w:val="20"/>
            <w:lang w:eastAsia="lv-LV"/>
          </w:rPr>
          <w:t>www.tm.gov.lv</w:t>
        </w:r>
      </w:hyperlink>
      <w:r w:rsidR="00EB26C4">
        <w:rPr>
          <w:rFonts w:ascii="Times New Roman" w:hAnsi="Times New Roman" w:cs="Times New Roman"/>
          <w:color w:val="201F1E"/>
          <w:sz w:val="20"/>
          <w:szCs w:val="20"/>
          <w:lang w:eastAsia="lv-LV"/>
        </w:rPr>
        <w:t>  </w:t>
      </w:r>
    </w:p>
    <w:p w14:paraId="332FE083" w14:textId="2B8C2FF3" w:rsidR="00EB26C4" w:rsidRDefault="00EB26C4" w:rsidP="003A78B2">
      <w:pPr>
        <w:shd w:val="clear" w:color="auto" w:fill="FFFFFF"/>
        <w:jc w:val="both"/>
        <w:rPr>
          <w:color w:val="201F1E"/>
          <w:lang w:eastAsia="lv-LV"/>
        </w:rPr>
      </w:pPr>
      <w:r>
        <w:rPr>
          <w:rFonts w:ascii="Arial" w:hAnsi="Arial" w:cs="Arial"/>
          <w:noProof/>
          <w:color w:val="1F497D"/>
          <w:sz w:val="20"/>
          <w:szCs w:val="20"/>
          <w:lang w:eastAsia="lv-LV"/>
        </w:rPr>
        <w:drawing>
          <wp:inline distT="0" distB="0" distL="0" distR="0" wp14:anchorId="1C3026FA" wp14:editId="79B839BE">
            <wp:extent cx="1250950" cy="984250"/>
            <wp:effectExtent l="0" t="0" r="6350" b="635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0950" cy="984250"/>
                    </a:xfrm>
                    <a:prstGeom prst="rect">
                      <a:avLst/>
                    </a:prstGeom>
                    <a:noFill/>
                    <a:ln>
                      <a:noFill/>
                    </a:ln>
                  </pic:spPr>
                </pic:pic>
              </a:graphicData>
            </a:graphic>
          </wp:inline>
        </w:drawing>
      </w:r>
    </w:p>
    <w:p w14:paraId="6DC8AFDF" w14:textId="77777777" w:rsidR="00F644D0" w:rsidRDefault="00F644D0" w:rsidP="003A78B2">
      <w:pPr>
        <w:jc w:val="both"/>
      </w:pPr>
    </w:p>
    <w:sectPr w:rsidR="00F644D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6C4"/>
    <w:rsid w:val="003A78B2"/>
    <w:rsid w:val="00EB26C4"/>
    <w:rsid w:val="00F644D0"/>
    <w:rsid w:val="00FA16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C7AF9"/>
  <w15:chartTrackingRefBased/>
  <w15:docId w15:val="{DB00021F-E0C4-493F-9590-A098D8506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6C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B26C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2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tm.gov.lv" TargetMode="External"/><Relationship Id="rId4" Type="http://schemas.openxmlformats.org/officeDocument/2006/relationships/hyperlink" Target="mailto:arta.purina@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5505</Words>
  <Characters>3138</Characters>
  <Application>Microsoft Office Word</Application>
  <DocSecurity>0</DocSecurity>
  <Lines>26</Lines>
  <Paragraphs>17</Paragraphs>
  <ScaleCrop>false</ScaleCrop>
  <Company/>
  <LinksUpToDate>false</LinksUpToDate>
  <CharactersWithSpaces>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Šķibele</dc:creator>
  <cp:keywords/>
  <dc:description/>
  <cp:lastModifiedBy>Egita Šķibele</cp:lastModifiedBy>
  <cp:revision>2</cp:revision>
  <dcterms:created xsi:type="dcterms:W3CDTF">2021-08-16T09:41:00Z</dcterms:created>
  <dcterms:modified xsi:type="dcterms:W3CDTF">2021-08-16T09:41:00Z</dcterms:modified>
</cp:coreProperties>
</file>