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w:t>
            </w:r>
            <w:r w:rsidR="00000000" w:rsidRPr="00000000" w:rsidDel="00000000">
              <w:rPr>
                <w:vertAlign w:val="superscript"/>
                <w:rtl w:val="0"/>
              </w:rPr>
              <w:t xml:space="preserve">3</w:t>
            </w:r>
            <w:r w:rsidR="00000000" w:rsidRPr="00000000" w:rsidDel="00000000">
              <w:rPr>
                <w:rtl w:val="0"/>
              </w:rPr>
              <w:t xml:space="preserve"> nodaļu ar jaunu pantu attiecībā uz nacionālo interešu objektiem, jo piesārņojuma novēršana un atkārtota piesārņojuma novēršana migrējoša gruntsūdeņu piesārņojuma gadījumā kavē būvdarbus un rada ievērojamas izmaksas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Sanācijas darbu veikšana attiecībā uz nacionālo interešu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nacionālo interešu objekta būvniecības teritorijā ir konstatēts piesārņojums, būvniecības ierosinātājs ir tiesīgs turpināt veikt būvniecības darbus, kamēr noris šīs teritorijas sanācija, ar nosacījumu, ka abus procesus ir iespējams veikt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nacionālo interešu objekta būvniecība notiek blakus piesārņotai vietai vai potenciāli piesārņotai vietai, kurā ir migrējošs gruntsūdeņu piesārņojums, kas var ieplūst nacionālo interešu objekta būvniecības teritorijā pēc tam, kad jau veikti teritorijas sanācijas darbi, būvniecības ierosinātājs ir tiesīgs neveikt atkārtotu teritorijas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minēts, ka likumprojekta anotācija ir papildināta ar atsauci uz vēsturiskā piesārņojuma definīciju, kāda tā pašreiz ir ietverta Vides politikas pamatnostādnēs 2021.–2027. gadam saskaņā ar Ministru kabineta 2022. gada 31. augusta rīkojumu Nr. 583 “Par Vides politikas pamatnostādnēm 2021.–2027. gadam”. Ņemot vērā, ka Projektā lietots vārdu savienojums/ termins “vēsturiski piesārņotās vietas”, lūdzam šo terminu un tā skaidrojumu iekļaut arī Vides aizsardzības likuma 1. pantā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vēsturiski piesārņota vieta -   piesārņota teritorija, kuras piesārņotājs savu darbību ir beidzis pirms 2001. gada 1. jūlija, vairs nepastāv, kā arī piesārņojuma radītājam vairs nav iespējams piemērot principu "piesārņotājs 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Balaša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politikas plānotāju semināros sniegto informāciju, Valsts kanceleja plāno izmaiņas politikas plānošanas sistēmā. Lai gan šobrīd starpinstitūciju saskaņošanai nav virzīti normatīvo aktu grozījumi, aicinām jau proaktīvi — sadarbībā ar Valsts kanceleju — precizēt tās likuma normas, kur minētas pamatnostādnes, jo jaunā sistēma šo dokumentu veidu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