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22-TA-391: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38. un 59.punktu lūdzam ņemt vērā </w:t>
            </w:r>
            <w:r w:rsidR="00000000" w:rsidRPr="00000000" w:rsidDel="00000000">
              <w:rPr>
                <w:i w:val="1"/>
                <w:rtl w:val="0"/>
              </w:rPr>
              <w:t xml:space="preserve">Vadlīniju informatīvā ziņojuma vai Ministru kabineta noteikumu izstrādei par Eiropas Savienības Atveseļošanas un noturības mehānisma plāna reformas vai investīcijas ieviešanu </w:t>
            </w:r>
            <w:r w:rsidR="00000000" w:rsidRPr="00000000" w:rsidDel="00000000">
              <w:rPr>
                <w:rtl w:val="0"/>
              </w:rPr>
              <w:t xml:space="preserve">maksājumu nosacījumus. Vēršam uzmanību, ka avansa maksājumu var plānot ne lielāku kā 30% no projektā paredzētā AF finansējuma apmēra, nosakot avansa maksājuma saņemšanas nosacījumus, t.i. sasaistot ar projekta sasniedzamajiem mērķiem un atskaites punktiem, kā arī avansa un starpposma maksājumu kopsumma nevar pārsniegt 90% no kopējā projekta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izteiktajiem FM komentāriem par atbilstību Eiropas Padomes 2021.gada 6.jūlija lēmumam par Latvijas Atveseļošanas un noturības plāna novērtējuma apstiprināšanu (CID) lūdzam informatīvā ziņojuma 12.4.apakšpunktā noteikt termiņu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11.2.1.apakšpunktā noradīt rādītāja vērtību atbilstoši spēkā esošajam CID.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11.1.1.apakšpunktā norādīt arī informāciju par dalību apmācībās atbilstoši CID 72. rādītāja aprakstam - ... (no tiem vismaz 5000 ir to darījuši pašmācībā); un vismaz 10 tūkstoši personu ir piedalījušies tehnoloģiskās inovācijas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11.punkta ievadā ievietot atsauci uz Eiropas Padomes 2021.gada 6.jūlija lēmumu par Latvijas Atveseļošanas un noturības plāna novērtējuma apstiprināšanu (CID).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67.5. un 67.7.punktos norādīto nepieciešamo informāciju iekļaut informatīvajā ziņojumā un secīgi svītrot 67.5. un 67.7.punktus no informatīvā ziņojuma.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finansējuma saņēmējiem kā valsts budžeta iestādēm maksājumi netiks veikti, lūdzam precizēt 67.4.punktā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67.2.punktā norādītā projekta posmu kalendārā plāna nozīmi un nepieciešamību to iekļaut pie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66.punktu, paredzot, ka IZM par projekta iesnieguma apstiprināšanu informēs arī CFLA kā vienošanās ar finansējuma saņēmēju slēdzēju, kā arī apstiprinās projekta iesniegumu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5.nodaļu un nodrošināt, ka IZM un CFLA funkcijas ir skaidri nodalītas un nepārklājas.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50.punktā norādīto informāciju, lūdzam skaidrot, kā tiks nodalītas darbības, kurās pašvaldības piedalīsies kā projektu sadarbības partneri un kurās tās piedalīsies kā atklātu projektu konkursu īstenotāji.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informatīvā ziņojuma vai Ministru kabineta noteikumu izstrādei par Eiropas Savienības Atveseļošanas un noturības mehānisma plāna reformas vai investīcijas ieviešanu", lūdzam informatīvajā ziņojumā norādīt projektu attiecināmās izmaksas, ņemot vērā projektu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projektu ietvaros tiks iesaistīts liels skaits dalībnieku un CFLA būs jāveic šo dalībnieku pārbaudes, lūdzam samazināt projektu īstenošanas temiņa beigu datumu no 2026.gada 31.maija uz 2026.gada 30.aprīli, secīgi precizējot informāciju informatīvā ziņojuma 11.1., 12., 20., 81.punktā.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samazināt termiņus arī 81.1., 81.2.punktā.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18., 20., 40.1., 57.1.punktā norādīto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 kā tiks nodrošināta abu projektu darbību un izmaksu nepārklāšanās, t.sk. pašvaldībās.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IZM pienākumu apstiprināt papildus izvirzītos nacionālos rādītājus, kas nav minēti Atveseļošanas fonda plānā pirms progresa iesniegšanas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definēt dokumentu kopumu, kas pierādīs informatīvā ziņojuma 11.punktā norādīto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informatīvā ziņojuma 77.4.apakšpunktu, norādot, ka dokumentācijas glabāšana jānodrošina piecus gadus pēc pēdējā maksājuma veikšanas </w:t>
            </w:r>
            <w:r w:rsidR="00000000" w:rsidRPr="00000000" w:rsidDel="00000000">
              <w:rPr>
                <w:b w:val="1"/>
                <w:rtl w:val="0"/>
              </w:rPr>
              <w:t xml:space="preserve">dalībvalstij </w:t>
            </w:r>
            <w:r w:rsidR="00000000" w:rsidRPr="00000000" w:rsidDel="00000000">
              <w:rPr>
                <w:rtl w:val="0"/>
              </w:rPr>
              <w:t xml:space="preserve">(jeb līdz 2031.gada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starpresoru vienošanās jau ir noslēgta, ierosinām precizēt informatīvā ziņojuma 93. punktu, nosakot, ka starpresoru vienošanās jau ir noslēgta un tajā tiks veikti grozījumi (kas ir saskaņā arī ar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protokollēmuma projektu tiks veikti grozījumi jau noslēgtajā starpresoru vienošanās nevis slēgta jauna vienošanās, lūgums koriģēt informatīvā ziņojuma 72.punktu, vārdu "noslēdzot attiecīgu starpresoru vienošanos" vietā norādot "veicot grozījumus starpresoru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koriģēt informatīvā ziņojuma 69.punktu, nenorādot konkrētus termiņus datu ievadei vadības informācijas sistēmā, paredzot, ka par to CFLA vienotos atsevišķi ar finansējuma saņēmēju, slēdzot vienošanos par projekta īstenošanu. Ja tomēr ir nepieciešams atrunāt konkrētus termiņus, lūgums tos salāgot ar Ministru kabineta noteikumiem Nr. 621, proti, nosakot datu ievadi līdz 10.janvārim un 10.jūlijam.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nosaukumā samainīt vietām skaitļus un burtu "2.3.2.1.i." ar vārdu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informatīvā ziņoojuma tekstā precizēt terminoloģiju, nomainot terminu "maksājuma pieprasījums" pret "progresa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71.punktā jau ir noteiktas veicamās pārbaudes, lūdzam dzēst 87.punktu.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panākta konceptuāla vienošanās, ka CFLA uzraudzīs investīcijas projektus, ierosinām 72.punktā dzēst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MK noteikumu 621 9.7. apakšpunkts paredz, ka CFLA līdztekus MK noteikumos 621 noteiktajām pārbaudēm var veikt arī citas pārbaudes, attiecīgi sagatavojot ieteikumus nozares ministrijai, kā arī šī informatīvā ziņojuma 87. punktā ir paredzētas tiesības CFLA izlases veidā veikt interešu konflikta, korupcijas un krāpšanas novēršanas pārbaudes, dubultfinansējuma riska novēršanas pārbaudes, rezultātu sasniegšanas un datu ticamības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50.punktā atsauci uz Likuma par budžeta un finanšu vadību pantu, proti, ka tas ir 19.</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šā rīkojuma 4. punktā noteikto, Izglītības un zinātnes ministrijai un Centrālajai finanšu un līgumu aģentūrai veikt atbilstošus grozījumus starp iestādēm noslēgtajā starpresoru vienošanās par sadarbību Eiropas Savienības Atveseļošanas un noturības mehānisma īstenošanā un uzraudzībā.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protokollēmuma 5.punktā vārdu "rīkojuma" ar vārdu "protokollēmuma". Attiecīgu precizējumu lūdzam veikt arī protokollēmuma 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un Finanšu ministrijai normatīvajos aktos noteiktajā kārtībā sagatavot un iesniegt Finanšu ministrijā pieprasījumu apropriācijas izmaiņām Izglītības un zinātnes ministrijas un Finanšu ministrijas budžeta apakšprogrammās 74.50.00 “Tehniskā palīdzība Atveseļošanas un noturības mehānisma (ANM) apgūšanai”, paredzot attiecīgu finansējuma pārdali uz un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protokollēmuma projekta 7.punktu,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normatīvajos aktos noteiktajā kārtībā sagatavot un iesniegt Finanšu ministrijā pieprasījumu apropriācijas izmaiņām Izglītības un zinātnes ministrijas budžeta apakšprogrammā 74.50.00 “Tehniskā palīdzība Atveseļošanas un noturības mehānisma (ANM) apgūšanai”, paredzot attiecīgu finansējuma pārdali uz 74. resora “Gadskārtējā valsts budžeta izpildes procesā pārdalāmais finansējums” programmu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22-TA-391</w:t>
    </w:r>
    <w:r>
      <w:br/>
    </w:r>
    <w:r w:rsidR="00000000" w:rsidRPr="00000000" w:rsidDel="00000000">
      <w:rPr>
        <w:rtl w:val="0"/>
      </w:rPr>
      <w:t xml:space="preserve">Izdrukāts 13.02.2023.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22-TA-391</w:t>
    </w:r>
    <w:r>
      <w:br/>
    </w:r>
    <w:r w:rsidR="00000000" w:rsidRPr="00000000" w:rsidDel="00000000">
      <w:rPr>
        <w:rtl w:val="0"/>
      </w:rPr>
      <w:t xml:space="preserve">Izdrukāts 13.02.2023.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Atzinumi_22-TA-391.docx</dc:title>
</cp:coreProperties>
</file>

<file path=docProps/custom.xml><?xml version="1.0" encoding="utf-8"?>
<Properties xmlns="http://schemas.openxmlformats.org/officeDocument/2006/custom-properties" xmlns:vt="http://schemas.openxmlformats.org/officeDocument/2006/docPropsVTypes"/>
</file>