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113 "Atkritumu un to pārvadājumu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tabulā “Maksas pakalpojumu kopsavilkums” aili “Nepilna funkcionalitāte kopā:” ar attiecīgo vērtību “53 539” pārcelt pirms ailes “Abas funkcionalitātes kopā”, lai pozīcijas un kopsummas būtu norādītas loģiskā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3.sadaļas 6.punktā norādīto tabulu “IS uzturēšanas un attīstības smalkāks sadalījums” pārcelt uz 6.2.apakšpunktu, kurā tiek sniegta informācija par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3.sadaļas 7.punktā norādīto informāciju, ka plānots izveidot divas jaunas amata vietas, vēršam uzmanību, ka jautājumā par amata vietām būtisks ir Valsts kancelejas viedoklis, kura atbildīga par valsts pārvaldes cilvēkresursu attīstības politikas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06.11.2025.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06.11.2025.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Atzinumi_25-TA-894.docx</dc:title>
</cp:coreProperties>
</file>

<file path=docProps/custom.xml><?xml version="1.0" encoding="utf-8"?>
<Properties xmlns="http://schemas.openxmlformats.org/officeDocument/2006/custom-properties" xmlns:vt="http://schemas.openxmlformats.org/officeDocument/2006/docPropsVTypes"/>
</file>