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t.sk. uzlabojot tālākizglītības pieejamību"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organizēšanas izmaksas, tai skaitā, izmaksas, kas saistītas ar pieredzes apmaiņas pasākumu organizēšanu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ir svītrots vārds "apmācību". Vēršam uzmanību, ka šādā redakcijā nav skaidri atrunāts, ko var organizēt. Lūdzam precizēt redakciju, skaidri nosakot, kādu pasākumu organizēšanas izmaksas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šaubas par komercdarbības atbalsta esamību gala labuma guvēju līmenī, lūdzam papildināt anotāciju ar pamatojumu, kāpēc tiek secināts, ka ārstniecības iestāde, kurā nodarbināta ārstniecības persona, netiks atbrīvota no kārtējiem izdevumiem, ņemot vērā to, ka, piemēram, noteikumu projekta 22.3. apakšpunkts paredz segt komandējuma izmaksas, kas parasti ir uzskatāmas par uzņēmuma kārtējiem izdevumiem. Vienlaikus lūdzam dzēst pretrunīgo skaidrojumu, ka “Attiecīgi ārstniecības personas iegūtais sertifikāts dos labumu jebkurai ārstniecības iestādei, kur tā strādās, jo jau pieņemot apmācībām netiek ierobežots, kurā ārstniecības iestādē strādājoša ārstniecības persona var pieteikties apmācībā”, ņemot vērā to, ka atbalsts pasākuma ietvaros tiek sniegts konkrētai mērķa grupai – ārstniecības personām, to kvalifikācijas paaugstināšanai, neskatoties, uz to, kur tās strādā.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Ministru kabineta 2022. gada 13. decembra sēdes protokollēmumā (prot. Nr. 64 6. § 3. punkts) minēto. Proti, </w:t>
            </w:r>
            <w:r w:rsidR="00000000" w:rsidRPr="00000000" w:rsidDel="00000000">
              <w:rPr>
                <w:i w:val="1"/>
                <w:rtl w:val="0"/>
              </w:rPr>
              <w:t xml:space="preserve">ministrijām, izstrādājot Ministru kabineta noteikumu projektus par specifisko atbalsta mērķu īstenošanu, izvērtēt un, ja attiecināms, nodrošināt tiesisko ietvaru, kā arī tehnisko mehānismu, kādā finansējuma saņēmējs var pārbaudīt mērķa grupas dalībnieka atbilstību dalībai projektā, jo īpaši attiecībā uz fizisko personu datiem, kas reģistrēti valsts informācijas sistēmās un projekta īstenošanas laikā valsts informācijas sistēmās var tikt aktualizēti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punktā veiktie papildinājumi attiecībā uz to, ka </w:t>
            </w:r>
            <w:r w:rsidR="00000000" w:rsidRPr="00000000" w:rsidDel="00000000">
              <w:rPr>
                <w:u w:val="single"/>
                <w:rtl w:val="0"/>
              </w:rPr>
              <w:t xml:space="preserve">finansējuma saņēmējs izstrādā kārtību, kā pārbauda atbilstību mērķa grupai valsts informācijas sistēmās</w:t>
            </w:r>
            <w:r w:rsidR="00000000" w:rsidRPr="00000000" w:rsidDel="00000000">
              <w:rPr>
                <w:rtl w:val="0"/>
              </w:rPr>
              <w:t xml:space="preserve">, ir nepietiekams minētajā protokollēmumā dotā uzdevuma izpildei. Ievērojot minēto, lūdzam sniegt anotācijas 8.1.13. apakšsadaļā izvērstu skaidrojumu, kā tiks pārbaudīta atbilstība mērķa grupai. Nepieciešamības gadījumā aicinām papildināt arī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01.12.2023. 22.38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23-TA-2102</w:t>
    </w:r>
    <w:r>
      <w:br/>
    </w:r>
    <w:r w:rsidR="00000000" w:rsidRPr="00000000" w:rsidDel="00000000">
      <w:rPr>
        <w:rtl w:val="0"/>
      </w:rPr>
      <w:t xml:space="preserve">Izdrukāts 01.12.2023. 22.38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Atzinumi_23-TA-2102.docx</dc:title>
</cp:coreProperties>
</file>

<file path=docProps/custom.xml><?xml version="1.0" encoding="utf-8"?>
<Properties xmlns="http://schemas.openxmlformats.org/officeDocument/2006/custom-properties" xmlns:vt="http://schemas.openxmlformats.org/officeDocument/2006/docPropsVTypes"/>
</file>