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25. aprīļa noteikumos Nr. 203 "Ražotāju organizāciju atzīšanas un atbalsta piešķiršanas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pārskatīt un precizēt projekta anotācijas 5. sadaļu (sadaļas aizpildīšanā aicinām ievērot "Vadlīnijas tiesību akta projekta sākotnējās ietekmes novērtēšanai un novērtējuma ziņojuma sagatavošanai Vienotajā tiesību aktu izstrādes un saskaņošanas portālā").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pilnībā skaidrots, kā ir izmantotas visas Eiropas Savienības tiesību aktos paredzētās rīcības brīvība, piemēram, arī Komisijas 2021. gada 7. decembra Deleģētās regulas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 11. panta 6. un 8. punkts paredz rīcības brīvību, arī 23. panta 3. punktā paredzēts, ka "</w:t>
            </w:r>
            <w:r w:rsidR="00000000" w:rsidRPr="00000000" w:rsidDel="00000000">
              <w:rPr>
                <w:i w:val="1"/>
                <w:rtl w:val="0"/>
              </w:rPr>
              <w:t xml:space="preserve">Dalībvalstis [..], var paredzēt vienotu standartlikmi personāla un administratīvajām izmaksām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projekta redakcijai un tajā ietvertajām atsaucēm uz Eiropas Savienības tiesību aktiem, gan projektā, gan tā pielikumos tiek ieviestas arī citas, anotācijas 5.sadaļā neskaidrotas tiesību normas un tiesību akti, piemēram, Regulas 2022/126 11. panta 9. punkts 1. un 2. daļa (Ministru kabineta 2023. gada 25. aprīļa noteikumu Nr. 203 "Ražotāju organizāciju atzīšanas un atbalsta piešķiršanas kārtība" (turpmāk - Noteikumi) 85. punkts), Regulas 2022/126 12. panta 1. punkta 2. daļa (Noteikumu 38.</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skaidrojumiem anotācijas 1.3. apakšsadaļā, projekta 26. punkts ievieš visu Regulas 2022/126 23. pantu, ne tikai tā 3. punktu, kā norādīts 5.4. apakšsadaļas 1. tabulā, arī projekta 43. punkts atbilstoši skaidrojumiem nodrošina atbilstību Eiropas Savienības tiesību normai, bet anotācijas 5.4. apakšsadaļā netiek skaidrots. Lūdzam salāgot skaidrojumus anotācijas 1.3. apakšsadaļā un 5.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piešķiršanu ierobežojošie nosacījumi un piemērojamās finanšu korekcijas tiek vērtētas saskaņā ar normatīvajiem aktiem par valsts un Eiropas Savienības atbalsta piešķiršanas, administrēšanas un uzraudzības vispārējo kārtību lauku un zivsaimniecības attīstībai, ciktāl tie nav pretrunā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paredzēto grozījumu Ministru kabineta 2023. gada 25. aprīļa noteikumu Nr.203 “Ražotāju organizāciju atzīšanas un atbalsta piešķiršanas kārtība” (turpmāk – Noteikumi) 4. punktā nepieciešams izvērtēt un precizēt vai svītrot (grozījumu neveidot), jo šāda norma ir pretrunā ar Oficiālo publikāciju un tiesiskās informācijas likuma 9. panta pirmajā daļā, kā arī Administratīvā procesa likuma 15. panta otrajā daļā noteikto par ārējo normatīvo aktu juridiskā spēka hierarhiju. Tādējādi Ministru kabineta noteikumos nav pieļaujams rakstīt vispārīgu atsauci uz normatīvajiem aktiem ar piebildi – “ciktāl tie nav pretrunā ar šiem noteikumiem”, jo tiesību normu piemērošanā jebkura likuma norma būs ar augstāku spēku par Ministru kabineta noteikumu normām. Atbilstoši nepieciešams precizēt projekta anotāciju. Papildus par anotācijā sniegto problēmas aprakstu norādām, ka administratīvajā procesā atšķirīgu pieeju vienāda rakstura pārkāpumu gadījumos, nevienlīdzīgu attieksmi pret atbalsta pretendentiem var novērst, kā arī veicināt administrējošo iestāžu darba uzlabošanu un vienotu kritēriju pārkāpumu gadījumā ievērošanu var ieviest ar administrējošai iestādei saistošiem iekšējiem normatīvajiem aktiem, piemēram, ieteikumiem vai iekšējiem noteikumiem. Nozarei kopumā (vairākām administrējošām iestādām vienlaicīgi) šādus iekšējos normatīvos aktus var izdot nozares ministrs.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2. šo noteikumu </w:t>
            </w:r>
            <w:r w:rsidR="00000000" w:rsidRPr="00000000" w:rsidDel="00000000">
              <w:rPr>
                <w:rtl w:val="0"/>
              </w:rPr>
              <w:t xml:space="preserve">82.</w:t>
            </w:r>
            <w:r w:rsidR="00000000" w:rsidRPr="00000000" w:rsidDel="00000000">
              <w:rPr>
                <w:rtl w:val="0"/>
              </w:rPr>
              <w:t xml:space="preserve"> un </w:t>
            </w:r>
            <w:r w:rsidR="00000000" w:rsidRPr="00000000" w:rsidDel="00000000">
              <w:rPr>
                <w:rtl w:val="0"/>
              </w:rPr>
              <w:t xml:space="preserve">83.</w:t>
            </w:r>
            <w:r w:rsidR="00000000" w:rsidRPr="00000000" w:rsidDel="00000000">
              <w:rPr>
                <w:rtl w:val="0"/>
              </w:rPr>
              <w:t xml:space="preserve"> punktā noteiktos pierādījumus par gaidāmo pozitīvo devumu viena vai vairāku šo noteikumu </w:t>
            </w:r>
            <w:r w:rsidR="00000000" w:rsidRPr="00000000" w:rsidDel="00000000">
              <w:rPr>
                <w:rtl w:val="0"/>
              </w:rPr>
              <w:t xml:space="preserve">64.</w:t>
            </w:r>
            <w:r w:rsidR="00000000" w:rsidRPr="00000000" w:rsidDel="00000000">
              <w:rPr>
                <w:rtl w:val="0"/>
              </w:rPr>
              <w:t xml:space="preserve"> punktā minēto agrovides un klimata mērķu sasniegšanā atbilstoši regulas </w:t>
            </w:r>
            <w:r w:rsidR="00000000" w:rsidRPr="00000000" w:rsidDel="00000000">
              <w:rPr>
                <w:rtl w:val="0"/>
              </w:rPr>
              <w:t xml:space="preserve">2022/126</w:t>
            </w:r>
            <w:r w:rsidR="00000000" w:rsidRPr="00000000" w:rsidDel="00000000">
              <w:rPr>
                <w:rtl w:val="0"/>
              </w:rPr>
              <w:t xml:space="preserve"> 12. panta 1. punkta otrajai daļai, ja ražotāju organizācija plāno kādu no šo noteikumu </w:t>
            </w:r>
            <w:r w:rsidR="00000000" w:rsidRPr="00000000" w:rsidDel="00000000">
              <w:rPr>
                <w:rtl w:val="0"/>
              </w:rPr>
              <w:t xml:space="preserve">61.1.11.</w:t>
            </w:r>
            <w:r w:rsidR="00000000" w:rsidRPr="00000000" w:rsidDel="00000000">
              <w:rPr>
                <w:rtl w:val="0"/>
              </w:rPr>
              <w:t xml:space="preserve"> ​​​​​​​ apakšpunktā minētajām investīcijām.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8. punktu (Noteikumu 38.</w:t>
            </w:r>
            <w:r w:rsidR="00000000" w:rsidRPr="00000000" w:rsidDel="00000000">
              <w:rPr>
                <w:vertAlign w:val="superscript"/>
                <w:rtl w:val="0"/>
              </w:rPr>
              <w:t xml:space="preserve">1</w:t>
            </w:r>
            <w:r w:rsidR="00000000" w:rsidRPr="00000000" w:rsidDel="00000000">
              <w:rPr>
                <w:rtl w:val="0"/>
              </w:rPr>
              <w:t xml:space="preserve">2.apakšpunkts), kontekstā ar Noteikumos jau esošo 82. un 83. punktu un, nepieciešamības gadījumā precizēt projektu, nodrošinot, ka netiek dublēts jau esošais regulējums. Vēršam uzmanību, ka jau no Noteikumu 82. punkta izriet pierādījumu par darbības programmas izpildes gaidāmo pozitīvo devumu iesniegšanas pienākums atbilstoši regulas 2022/126 12. panta 1. punkta otrajai daļai, īstenojot šo noteikumu 61.1.11. apakšpunktā minētās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r w:rsidR="00000000" w:rsidRPr="00000000" w:rsidDel="00000000">
              <w:rPr>
                <w:vertAlign w:val="superscript"/>
                <w:rtl w:val="0"/>
              </w:rPr>
              <w:t xml:space="preserve">1</w:t>
            </w:r>
            <w:r w:rsidR="00000000" w:rsidRPr="00000000" w:rsidDel="00000000">
              <w:rPr>
                <w:rtl w:val="0"/>
              </w:rPr>
              <w:t xml:space="preserve"> Šo noteikumu 65. un 67. punktā minētās personāla izmaksas sedz saskaņā ar Zemkopības ministrijas apstiprināto metodiku "Vienas vienības izmaksas – stundas likmes atalgojums sadarbības partneriem", piemērojot attiecīgajai amata grupai noteikto vienības izmaksu likmi. Ja amata grupa nav minētajā metodikā iekļauta, izmaksas tiek segtas atbilstoši to faktiskajam apmēram, pamatojoties uz izdevumus apliecinošiem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26. punktu (Noteikumu 67.</w:t>
            </w:r>
            <w:r w:rsidR="00000000" w:rsidRPr="00000000" w:rsidDel="00000000">
              <w:rPr>
                <w:vertAlign w:val="superscript"/>
                <w:rtl w:val="0"/>
              </w:rPr>
              <w:t xml:space="preserve">1</w:t>
            </w:r>
            <w:r w:rsidR="00000000" w:rsidRPr="00000000" w:rsidDel="00000000">
              <w:rPr>
                <w:rtl w:val="0"/>
              </w:rPr>
              <w:t xml:space="preserve"> punkts), ņemot vērā, ka jau 67. punktā tiek noteikts, ka personāla izmaksas sedz faktiskajā apmērā, bet 65. punktā - saskaņā ar regulas 2022/126 23. panta 1. punktu. Vēršam uzmanību, ka ar projekta 26. punktu tiek paredzēts, ka tās pašas, 65. un 67. punktā jau noteiktās, personāla izmaksas sedz arī atbilstoši Zemkopības ministrijas metodikai vai to faktiskajā apmērā. Proti, vienlaikus tiek paredzētas divas dažādas pieejas personāla izmaksu segšanai, kas rada pretrunīgu tiesisko regulējumu. Attiecīgi, lūdzam precizēt projektu vai sniegt atbilstošu skaidrojumu par minēto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w:t>
            </w:r>
            <w:r w:rsidR="00000000" w:rsidRPr="00000000" w:rsidDel="00000000">
              <w:rPr>
                <w:rtl w:val="0"/>
              </w:rPr>
              <w:t xml:space="preserve">61.1.2.</w:t>
            </w:r>
            <w:r w:rsidR="00000000" w:rsidRPr="00000000" w:rsidDel="00000000">
              <w:rPr>
                <w:rtl w:val="0"/>
              </w:rPr>
              <w:t xml:space="preserve">, </w:t>
            </w:r>
            <w:r w:rsidR="00000000" w:rsidRPr="00000000" w:rsidDel="00000000">
              <w:rPr>
                <w:rtl w:val="0"/>
              </w:rPr>
              <w:t xml:space="preserve">61.1.4.</w:t>
            </w:r>
            <w:r w:rsidR="00000000" w:rsidRPr="00000000" w:rsidDel="00000000">
              <w:rPr>
                <w:rtl w:val="0"/>
              </w:rPr>
              <w:t xml:space="preserve"> un </w:t>
            </w:r>
            <w:r w:rsidR="00000000" w:rsidRPr="00000000" w:rsidDel="00000000">
              <w:rPr>
                <w:rtl w:val="0"/>
              </w:rPr>
              <w:t xml:space="preserve">61.1.13.</w:t>
            </w:r>
            <w:r w:rsidR="00000000" w:rsidRPr="00000000" w:rsidDel="00000000">
              <w:rPr>
                <w:rtl w:val="0"/>
              </w:rPr>
              <w:t xml:space="preserve"> apakšpunktā minētās būvniecības izmaksas nepārsniedz izmaksas, kas noteiktas Zemkopības ministrijas apstiprinātajās vadlīnijās par maksimāli attiecināmo izmaksu publisko finansējuma aprēķināšanu jaunas būvniecības un pārbūves projektiem. Atbilstošo intervenci īsteno, pamatojoties uz līgumu ar trešajām personām, kas ir atbildīgas par darbu izpildi, un tā atbilst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Zemkopības ministrijas izstrādātās vadlīnijas, metodikas, Lauku atbalsta dienesta izstrādāti katalogi u.tml., ir iekšēji normatīvie akti, kas ir saistoši iestādei (tās struktūrvienībai, darbiniekiem) vai amatpersonām, attiecībā uz kurām tas izdots (sk. Valsts pārvaldes iekārtas likuma 72. panta ceturto daļu). Attiecīgi vadlīnijas u.tml. dokumenti nav saistoši privātpersonām - atbalsta pretendentiem un saņēmējiem, un tās par saistošām nevar padarīt arī ar atsauci projektā. Nepieciešamības gadījumā vadlīniju saturs jāpārņem projektā vai jāietver ar minētajām privātpersonām saskaņā ar Noteikumiem noslēgtā līgumā (ja attiecināms). Ievērojot minēto, lūdzam attiecīgi izvērtēt un precizēt projektu, svītrojot atsauces uz minētajiem dokumentiem.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2</w:t>
            </w:r>
            <w:r w:rsidR="00000000" w:rsidRPr="00000000" w:rsidDel="00000000">
              <w:rPr>
                <w:rtl w:val="0"/>
              </w:rPr>
              <w:t xml:space="preserve"> Ražotāju organizācija par iepriekšējā gadā īstenoto darbības programmu ir tiesīga veikt maksājumus pēc kārtējā gada 15. februāra, bet ne vēlāk kā līdz kārtējā gada 30. aprīlim, ja tā var pamatot, ka kavējums radies no ražotāju organizācijas neatkarīgu iemeslu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45. punktu (Noteikumu 98.</w:t>
            </w:r>
            <w:r w:rsidR="00000000" w:rsidRPr="00000000" w:rsidDel="00000000">
              <w:rPr>
                <w:vertAlign w:val="superscript"/>
                <w:rtl w:val="0"/>
              </w:rPr>
              <w:t xml:space="preserve">2</w:t>
            </w:r>
            <w:r w:rsidR="00000000" w:rsidRPr="00000000" w:rsidDel="00000000">
              <w:rPr>
                <w:rtl w:val="0"/>
              </w:rPr>
              <w:t xml:space="preserve"> punkts) kontekstā ar Noteikumu 98. punktā noteikto un nepieciešamības gadījumā veikt precizējumus vai alternatīvi lūdzam sniegt skaidrojumu anotācijā. Vēršam uzmanību, ka atbilstoši projekta 45. punktam ražotāju organizācija ir tiesīga maksājumus par iepriekšējā gadā īstenoto darbības programmu veikt arī pēc kārtējā gada 15. februāra. Taču, no Noteikumu 98. punkta izriet, ka, lai ražotāju organizācija saņemtu gala atbalsta maksājumu, tai dokumenti (tajā skaitā maksājumu apliecinošie dokumenti) Lauku atbalsta dienestā jāiesniedz līdz kārtējā gada 15. februārim. Attiecīgi pirmšķietami ražotāju organizācijai, kurai radies projekta 45. punktā minētais nokavējums, nav iespējams ievērot Noteikumu 98. punktā noteikto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Šo noteikumu 4. punktu piemēro par periodu, sākot ar 2026.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56. punktā paredzēto Noteikumu 182. punktu – pārejas regulējumu par Noteikumu 4. punkta piemērošanu ar 2026. gada 1. janvāri, ņemot vērā šajā atzinumā izteikto iebildumu par grozījumu Noteikumu 4. punktā, nepieciešams svītrot. Turklāt Noteikumu 4. punkts ir spēkā esoša un šobrīd piemērojama norma, tādējādi pārejas regulējumā nevar veidot formālu atsauci uz konkrētu punktu par tā piemērošanu nākotnē no noteikta datuma. Grozītām normām var veidot pārejas regulējumu, piemēram, par šādas normas atliktu piemērošanu, bet tādā gadījumā pārejas regulējums jāveido precīzi, identificējot visu piemērojamo jauno regulējumu, lai jauno regulējumu varētu nodalīt no vecā.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nodrošināt pilnīgus projekta skaidrojumus.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 punktā (Noteikumu 4. punkts) ir noteikts nevis regulējums saskaņā ar kuru atbalsts netiek piešķirts vai tiek atcelts, bet gan tas, kur paredzēti atbalsta piešķiršanu ierobežojošie nosacījumi un saskaņā ar ko tiek vērtētas piemērojamās finanšu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skaidrojumam anotācijas 1.3. apakšsadaļā, atzīta ražotāju organizācija Lauku atbalsta dienestā iesniedz vienkārši detalizētu grozīto darbības programmas sarakstu nākamajam darbības programmas gadam, bet, atbilstoši projektam, detalizētu grozīto darbības programmu iesniedz tikai tad, ja saraksts sākotnēji nav bijis detalizēts;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61.3.apakšpunkts papildināts ar tehnisko palīdzību kā atbalstāmu darbību, nesniedzot izvērstāku "tehniskās palīdzības"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skaidrots visi projektā ietvertie grozījumi, piemēram, projekta 25. un 56. punkts (Noteikumu 62. un 182.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norādīts, ka "</w:t>
            </w:r>
            <w:r w:rsidR="00000000" w:rsidRPr="00000000" w:rsidDel="00000000">
              <w:rPr>
                <w:i w:val="1"/>
                <w:rtl w:val="0"/>
              </w:rPr>
              <w:t xml:space="preserve">Ja nepieciešamā investīcija nav minēta katalogā, ražotāju organizācijām ir iespēja iesniegt pamatotu pieprasījumu tās iekļaušanai</w:t>
            </w:r>
            <w:r w:rsidR="00000000" w:rsidRPr="00000000" w:rsidDel="00000000">
              <w:rPr>
                <w:rtl w:val="0"/>
              </w:rPr>
              <w:t xml:space="preserve">", izvērstāk neskaidrojot, kā tas īstenojams praktiski, saskaņā ar kādiem normatīvajiem aktiem u.tml., kas tiesību normu adresātam nodrošinātu pilnīgu izpratni par to, kā tas var īstenot savas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atbilstoši skaidrojumam ražotāju organizācijai darbības programmai jāpievieno "</w:t>
            </w:r>
            <w:r w:rsidR="00000000" w:rsidRPr="00000000" w:rsidDel="00000000">
              <w:rPr>
                <w:i w:val="1"/>
                <w:rtl w:val="0"/>
              </w:rPr>
              <w:t xml:space="preserve">informācija par darbības fondu atbilstoši 5.</w:t>
            </w:r>
            <w:r w:rsidR="00000000" w:rsidRPr="00000000" w:rsidDel="00000000">
              <w:rPr>
                <w:rtl w:val="0"/>
              </w:rPr>
              <w:t xml:space="preserve"> </w:t>
            </w:r>
            <w:r w:rsidR="00000000" w:rsidRPr="00000000" w:rsidDel="00000000">
              <w:rPr>
                <w:i w:val="1"/>
                <w:rtl w:val="0"/>
              </w:rPr>
              <w:t xml:space="preserve">pielikumam </w:t>
            </w:r>
            <w:r w:rsidR="00000000" w:rsidRPr="00000000" w:rsidDel="00000000">
              <w:rPr>
                <w:i w:val="1"/>
                <w:u w:val="single"/>
                <w:rtl w:val="0"/>
              </w:rPr>
              <w:t xml:space="preserve">un aprēķinātais darbības fonda apmērs pirmajā programmas īstenošanas gadā</w:t>
            </w:r>
            <w:r w:rsidR="00000000" w:rsidRPr="00000000" w:rsidDel="00000000">
              <w:rPr>
                <w:rtl w:val="0"/>
              </w:rPr>
              <w:t xml:space="preserve">.", bet no projekta redakcijas izriet, ka tiek iesniegta ražotāju organizācijas izstrādātā darbības programma (4. pielikums) un informācija par darbības fondu (5. pielikums) pirmajam programmas īstenošanas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par darbības programmas grozījumu noraidīšanu, ja tie neatbilst šo noteikumu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Noteikumus, nodrošinot, ka tie ir pilnībā salāgoti ar plānotajiem grozījumiem. Vēršam uzmanību, ka, piemēram, Noteikumu 51.2.apakšpunktā saglabāta atsauce uz svītroto Noteikumu 46.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Ar šo noteikumu </w:t>
            </w:r>
            <w:r w:rsidR="00000000" w:rsidRPr="00000000" w:rsidDel="00000000">
              <w:rPr>
                <w:rtl w:val="0"/>
              </w:rPr>
              <w:t xml:space="preserve">61.</w:t>
            </w:r>
            <w:r w:rsidR="00000000" w:rsidRPr="00000000" w:rsidDel="00000000">
              <w:rPr>
                <w:rtl w:val="0"/>
              </w:rPr>
              <w:t xml:space="preserve"> punktā minēto intervenču īstenošanu saistītie komandējuma izdevumi – dienas nauda, pārbraukšanas izdevumi, kā arī izdevumi par naktsmītni, apdrošināšanu, dalības maksu – tiek segti saskaņā ar normatīvajiem aktiem par komandējumu izdevumu atlīdzināšanas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ņemot vērā, ka komandējumu izdevumu atlīdzināšana izriet no Ministru kabineta 2010.gada 12.oktobra noteikumiem Nr. 969 "Kārtība, kādā atlīdzināmi ar komandējumiem saistītie izdevumi", nevis "Komandējumu izdevumu atlīdzināšanas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Ar šo noteikumu 61. punktā minēto intervenču īstenošanu saistītie komandējuma izdevumi – dienas nauda, pārbraukšanas izdevumi, kā arī izdevumi par naktsmītni, apdrošināšanu, dalības maksu – tiek segti saskaņā ar normatīvajiem aktiem par ar komandējumiem saistīto izdevumu atlīdzināšanu."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r w:rsidR="00000000" w:rsidRPr="00000000" w:rsidDel="00000000">
              <w:rPr>
                <w:vertAlign w:val="superscript"/>
                <w:rtl w:val="0"/>
              </w:rPr>
              <w:t xml:space="preserve">1</w:t>
            </w:r>
            <w:r w:rsidR="00000000" w:rsidRPr="00000000" w:rsidDel="00000000">
              <w:rPr>
                <w:rtl w:val="0"/>
              </w:rPr>
              <w:t xml:space="preserve"> Ar šo noteikumu </w:t>
            </w:r>
            <w:r w:rsidR="00000000" w:rsidRPr="00000000" w:rsidDel="00000000">
              <w:rPr>
                <w:rtl w:val="0"/>
              </w:rPr>
              <w:t xml:space="preserve">61.2.</w:t>
            </w:r>
            <w:r w:rsidR="00000000" w:rsidRPr="00000000" w:rsidDel="00000000">
              <w:rPr>
                <w:rtl w:val="0"/>
              </w:rPr>
              <w:t xml:space="preserve">  un </w:t>
            </w:r>
            <w:r w:rsidR="00000000" w:rsidRPr="00000000" w:rsidDel="00000000">
              <w:rPr>
                <w:rtl w:val="0"/>
              </w:rPr>
              <w:t xml:space="preserve">61.3.</w:t>
            </w:r>
            <w:r w:rsidR="00000000" w:rsidRPr="00000000" w:rsidDel="00000000">
              <w:rPr>
                <w:rtl w:val="0"/>
              </w:rPr>
              <w:t xml:space="preserve"> apakšpunktā minētajām intervencēm saistītās ēdināšanas izmaksas sedz septiņu </w:t>
            </w:r>
            <w:r w:rsidR="00000000" w:rsidRPr="00000000" w:rsidDel="00000000">
              <w:rPr>
                <w:i w:val="1"/>
                <w:rtl w:val="0"/>
              </w:rPr>
              <w:t xml:space="preserve">euro</w:t>
            </w:r>
            <w:r w:rsidR="00000000" w:rsidRPr="00000000" w:rsidDel="00000000">
              <w:rPr>
                <w:rtl w:val="0"/>
              </w:rPr>
              <w:t xml:space="preserve"> apmērā par katru pasākuma dienu vienam reģistrētajam attiecīgā pasākuma dalībniekam, kas pasākumu apmeklējis klātienē. Ja plānotie izdevumi pārsniedz noteikto limitu, tos elektroniski saskaņo ar dienestu pirms maksājuma. Ja pasākums ir ilgāks par sešām stundām, rīko ne vairāk kā divas ēdienreizes.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izvērstāk skaidrot projekta 39. punktu (Noteikumu 89.</w:t>
            </w:r>
            <w:r w:rsidR="00000000" w:rsidRPr="00000000" w:rsidDel="00000000">
              <w:rPr>
                <w:vertAlign w:val="superscript"/>
                <w:rtl w:val="0"/>
              </w:rPr>
              <w:t xml:space="preserve">1</w:t>
            </w:r>
            <w:r w:rsidR="00000000" w:rsidRPr="00000000" w:rsidDel="00000000">
              <w:rPr>
                <w:rtl w:val="0"/>
              </w:rPr>
              <w:t xml:space="preserve"> punkts), nodrošinot tiesību normu adresātam precīzu izpratni par to, kāpēc ēdināšanas izmaksas nosakāmas tieši 7 EUR apmērā un tikai Noteikumu 61.2. un 61.3. apakšpunktā minētajām intervencēm, kā arī to, vai 7 EUR limits attiecināms arī uz gadījumiem, kad pasākums ir ilgāks par 6 stundām un tiek organizētas divas ēdienreizes? Tāpat lūdzam skaidrot arī nosacījuma: "</w:t>
            </w:r>
            <w:r w:rsidR="00000000" w:rsidRPr="00000000" w:rsidDel="00000000">
              <w:rPr>
                <w:i w:val="1"/>
                <w:rtl w:val="0"/>
              </w:rPr>
              <w:t xml:space="preserve">Ja plānotie izdevumi pārsniedz noteikto limitu, tos elektroniski saskaņo ar dienestu pirms maksājuma</w:t>
            </w:r>
            <w:r w:rsidR="00000000" w:rsidRPr="00000000" w:rsidDel="00000000">
              <w:rPr>
                <w:rtl w:val="0"/>
              </w:rPr>
              <w:t xml:space="preserve">." īstenošanu praksē, to kādos gadījumos noteiktais izmaksu limits tomēr var tikt pārsniegts, vai un kā Lauku atbalsta dienests vērtē un saskaņo pārsniegumus, nodrošinot, ka Lauku atbalsta dienesta rīcība visos gadījumos ir konsekventa un vienlīdzīga pret visiem tiesību normu adresātiem. Pamatojoties uz veikto izvērtējumu, ja nepieciešams, lūdzam veikt arī nepieciešamos precizējumus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Ja ražotāju organizācija savā darbības programmā paredz pētniecisko darbu īstenošanai izmantot savus nodarbinātos, tā apliecina, ka personāls ir atbilstoši kvalificēts, un iesniedz valsts izglītības informācijas sistēmā reģistrētas izglītības iestādes izsniegtu izglītību apliecinoša dokumenta kopiju par katras personas iegūto augstāko vai profesionālo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projekta 40. punktā (Noteikuma 90. punkts) un 44. punktā (Noteikuma 98.15. apakšpunkts) ietvertais formulējums "pētnieciskais darbs" nav pārāk plašs, īpaši ņemot vērā, ka spēkā esošajā redakcijā šī punkta izpratne ir konkretizētāka. Nepieciešamības gadījumā lūdzam anotācijā izvērst "pētnieciskā darba" izpratni šo Noteikumu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98.16. ja izveidots dziļurbums – atbilstoši normatīvajiem aktiem par zemes dzīļu izmantošanu informāciju par sagatavoto ūdens ieguves urbuma pasi, kas saskaņota ar valsts sabiedrību ar ierobežotu atbildību "Latvijas Vides, ģeoloģijas un meteoroloģijas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precizēt projekta 44. punktā (Noteikumu 98.16. apakšpunkts) ietverto atsauci uz normatīvo aktu jomu. Proti, no projekta precīzi neizriet, uz kādiem normatīvajiem aktiem atsauce "</w:t>
            </w:r>
            <w:r w:rsidR="00000000" w:rsidRPr="00000000" w:rsidDel="00000000">
              <w:rPr>
                <w:i w:val="1"/>
                <w:rtl w:val="0"/>
              </w:rPr>
              <w:t xml:space="preserve">normatīvajiem aktiem par zemes dzīļu izmantošanu</w:t>
            </w:r>
            <w:r w:rsidR="00000000" w:rsidRPr="00000000" w:rsidDel="00000000">
              <w:rPr>
                <w:rtl w:val="0"/>
              </w:rPr>
              <w:t xml:space="preserve">" ir attiecināma (likumu "Par zemes dzīlēm" v.tml.).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projekta 17. punktu ("izaugsmes vadības (padomdošanas)"), izvairoties no sinonīmu lietošanas. Norādām, ka atbilstoši juridiskās tehnikas prasībām normatīvajā aktā nelieto sinonīmus un vienu lietu konsekventi sauc vienā un tajā pašā vārdā.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2</w:t>
            </w:r>
            <w:r w:rsidR="00000000" w:rsidRPr="00000000" w:rsidDel="00000000">
              <w:rPr>
                <w:rtl w:val="0"/>
              </w:rPr>
              <w:t xml:space="preserve"> Ražotāju organizācija par iepriekšējā gadā īstenoto darbības programmu ir tiesīga veikt maksājumus pēc kārtējā gada 15. februāra, bet ne vēlāk kā līdz kārtējā gada 30. aprīlim, ja tā var pamatot, ka kavējums radies no ražotāju organizācijas neatkarīgu iemeslu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anotācijā skaidrot no projekta 45. punkta (Noteikumu 98.</w:t>
            </w:r>
            <w:r w:rsidR="00000000" w:rsidRPr="00000000" w:rsidDel="00000000">
              <w:rPr>
                <w:vertAlign w:val="superscript"/>
                <w:rtl w:val="0"/>
              </w:rPr>
              <w:t xml:space="preserve">2 </w:t>
            </w:r>
            <w:r w:rsidR="00000000" w:rsidRPr="00000000" w:rsidDel="00000000">
              <w:rPr>
                <w:rtl w:val="0"/>
              </w:rPr>
              <w:t xml:space="preserve">punkts) izrietošos praktiskos aspektus, lai tiesību normu adresātam būtu pilnīgi un nepārprotami skaidrs, kā īstenojama no projekta 45. punkta izrietošā tiesiskā iespēja pamatot nokavējumu, piemēram, vai pamatojums sniedzams, iesniedzot ražotāju organizācijas atbalsta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Lai ražotāju organizācija saņemtu šo noteikumu </w:t>
            </w:r>
            <w:r w:rsidR="00000000" w:rsidRPr="00000000" w:rsidDel="00000000">
              <w:rPr>
                <w:rtl w:val="0"/>
              </w:rPr>
              <w:t xml:space="preserve">97.2.</w:t>
            </w:r>
            <w:r w:rsidR="00000000" w:rsidRPr="00000000" w:rsidDel="00000000">
              <w:rPr>
                <w:rtl w:val="0"/>
              </w:rPr>
              <w:t xml:space="preserve"> apakšpunktā minēto maksājumu, tā iesniedz dienestā </w:t>
            </w:r>
            <w:r w:rsidR="00000000" w:rsidRPr="00000000" w:rsidDel="00000000">
              <w:rPr>
                <w:rtl w:val="0"/>
              </w:rPr>
              <w:t xml:space="preserve">10. </w:t>
            </w:r>
            <w:r w:rsidR="00000000" w:rsidRPr="00000000" w:rsidDel="00000000">
              <w:rPr>
                <w:rtl w:val="0"/>
              </w:rPr>
              <w:t xml:space="preserve">pielikumu</w:t>
            </w:r>
            <w:r w:rsidR="00000000" w:rsidRPr="00000000" w:rsidDel="00000000">
              <w:rPr>
                <w:rtl w:val="0"/>
              </w:rPr>
              <w:t xml:space="preserve"> par attiecīgajā darbības programmas periodā prognozētajiem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47. un 48. punktu (Noteikumu 100. un 102. punkts), ņemot vērā, ka ražotāju organizācija Lauku atbalsta dienestā iesniedz, nevis 10. pielikumu, bet ražotāju organizācijas starpmaksājuma, avansa maksājuma vai gala atbalsta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tiesiskās noteiktības nolūkā lūdzam projekta 50. punktā konkretizēt, kas ir domāts ar pieprasījuma dienu - pieprasījuma nosūtīšanas, saņemšanas v.tml.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normas, kas attiecināmas uz ražotāju organizācijas izslēgšanu no atbalsta saņēmēju loka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 projekta izrietošos grozījumus attiecībā uz 1. pielikumu, izvērtēt tā lomu Noteikumos un nepieciešamības gadījumā precizēt projektu vai sniegt attiecīgus skaidrojumus anotācijas 1.3. apakšsadaļā. Vēršam uzmanību, ka spēkā esošajā Noteikumu redakcijā tiek nodrošināta skaidra izpratne par to, ka 1. pielikumu piemēro izvērtējot ražotāju organizāciju atbilstību, bet līdz ar grozījumiem vienīgā atsauce uz 1. pielikuma piemērošanu Noteikumos tiek svītrota un nav arī skaidrota tā piemērošana turpmāk.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25-TA-1162</w:t>
    </w:r>
    <w:r>
      <w:br/>
    </w:r>
    <w:r w:rsidR="00000000" w:rsidRPr="00000000" w:rsidDel="00000000">
      <w:rPr>
        <w:rtl w:val="0"/>
      </w:rPr>
      <w:t xml:space="preserve">Izdrukāts 11.08.2025. 08.38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25-TA-1162</w:t>
    </w:r>
    <w:r>
      <w:br/>
    </w:r>
    <w:r w:rsidR="00000000" w:rsidRPr="00000000" w:rsidDel="00000000">
      <w:rPr>
        <w:rtl w:val="0"/>
      </w:rPr>
      <w:t xml:space="preserve">Izdrukāts 11.08.2025. 08.38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Atzinumi_25-TA-1162.docx</dc:title>
</cp:coreProperties>
</file>

<file path=docProps/custom.xml><?xml version="1.0" encoding="utf-8"?>
<Properties xmlns="http://schemas.openxmlformats.org/officeDocument/2006/custom-properties" xmlns:vt="http://schemas.openxmlformats.org/officeDocument/2006/docPropsVTypes"/>
</file>