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17.3.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17.4. </w:t>
            </w:r>
            <w:r w:rsidR="00000000" w:rsidRPr="00000000" w:rsidDel="00000000">
              <w:rPr>
                <w:rtl w:val="0"/>
              </w:rPr>
              <w:t xml:space="preserve">apakšpunktu</w:t>
            </w:r>
            <w:r w:rsidR="00000000" w:rsidRPr="00000000" w:rsidDel="00000000">
              <w:rPr>
                <w:rtl w:val="0"/>
              </w:rPr>
              <w:t xml:space="preserve"> piemēro no dienas, kad Eiropas Komisijā ir apstiprināti Eiropas Savienības kohēzijas politikas programmas 2021.–2027. gadam grozījumi, kas 6. politikas mērķa “Taisnīgas pārkārtošanās fonda investīcijas” ietvaros paredz ieguldījumus siltumenerģijas apgādes pielāgošanai alternatīviem atjaunīgo energoresursu kurināmajiem, veicinot siltumnīcefekta gāzu emisiju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40. punktu vai arī sniegt izvērstāku pamatojumu šāda pārejas noteikuma nepieciešamībai un pieļaujamībai. Turklāt anotācijā norādīts, ka nav zināms, kad attiecīgie Eiropas Savienības kohēzijas politikas programmas 2021.–2027. gadam grozījumi tiks apstiprināti Eiropas Komisijā. Lūdzam izvērtēt iespēju tad, ja un kad attiecīgie grozījumi tiek apstiprināti, attiecīgi virzīt grozījumus šajos noteikumos. Papildus atgādinām, ka Eiropas Savienības kohēzijas politikas programma 2021.–2027. gadam ir apstiprināta ar Ministru kabineta 2021. gada 16. novembra rīkojumu Nr. 841 "Par Eiropas Savienības kohēzijas politikas programmu 2021.–2027. gadam". Attiecīgi arī tās grozījumi ir apstiprināmi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veiktas par aktīviem, kas ir jauni un iegādāti no trešajām personām par tirgus vērtību un kurus izmanto finansējuma saņēmēja vajadzībām un sabiedriskā siltumapgādes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Efektīvas normas piemērošanas labad aicinām noteikumu projektā konkretizēt vai anotācijā skaidrot, par kādām finansējuma saņēmēja vajadzībām noteikumu projekta 20.2. apakšpunktā ir runa (it īpaši ņemot vērā, ka sabiedriskā siltumapgādes pakalpojuma nodrošināšana jau ir atsevišķi minēta), un kā šādu aktīvu izmantošana ir atbilstoša pasākuma atlases otrās kārtas mērķim, kas noteikts noteikumu projekta 2.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projekta sadārdzinājumu sedz no saviem līdzekļiem, nodrošinot piemērojamo komercdarbības atbalsta regulējuma normu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vārdus "nodrošinot piemērojamo komercdarbības atbalsta regulējuma normu ievērošanu" svītrot kā liekus, jo ārējie normatīvie akti personai ir jāievēro neatkarīgi no tā, vai šāda norāde ir vai nav ietverta projektā. Vienlaikus aicinām noteikumu projektā atsauces uz normatīvajiem aktiem noteiktā jomā veidot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14.04.2025. 21.41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25-TA-134</w:t>
    </w:r>
    <w:r>
      <w:br/>
    </w:r>
    <w:r w:rsidR="00000000" w:rsidRPr="00000000" w:rsidDel="00000000">
      <w:rPr>
        <w:rtl w:val="0"/>
      </w:rPr>
      <w:t xml:space="preserve">Izdrukāts 14.04.2025. 21.41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Atzinumi_25-TA-134.docx</dc:title>
</cp:coreProperties>
</file>

<file path=docProps/custom.xml><?xml version="1.0" encoding="utf-8"?>
<Properties xmlns="http://schemas.openxmlformats.org/officeDocument/2006/custom-properties" xmlns:vt="http://schemas.openxmlformats.org/officeDocument/2006/docPropsVTypes"/>
</file>