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25-TA-409: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Elektroenerģijas tirgus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pants. </w:t>
            </w:r>
            <w:r w:rsidR="00000000" w:rsidRPr="00000000" w:rsidDel="00000000">
              <w:rPr>
                <w:rtl w:val="0"/>
              </w:rPr>
              <w:t xml:space="preserve">"(3) Pārvades sistēmas operators, pildot Eiropas Parlamenta un Padomes 2011. gada 25. oktobra regulā (ES) Nr. 1227/2011 par enerģijas vairumtirgus integritāti un pārredzamību prasības un tam noteiktās funkcijas, ir tiesīgs pieprasīt un saņemt no tirgus dalībniekiem šo funkciju izpildei nepieciešamo informāciju un nepieciešamības gadījumā nodot to regulatoram un Energoregulatoru sadarbības aģentūrai.</w:t>
            </w:r>
            <w:r w:rsidR="00000000" w:rsidRPr="00000000" w:rsidDel="00000000">
              <w:rPr>
                <w:rtl w:val="0"/>
              </w:rPr>
              <w:t xml:space="preserve">(4) Ja šā likuma 37.</w:t>
            </w:r>
            <w:r w:rsidR="00000000" w:rsidRPr="00000000" w:rsidDel="00000000">
              <w:rPr>
                <w:vertAlign w:val="superscript"/>
                <w:rtl w:val="0"/>
              </w:rPr>
              <w:t xml:space="preserve">5</w:t>
            </w:r>
            <w:r w:rsidR="00000000" w:rsidRPr="00000000" w:rsidDel="00000000">
              <w:rPr>
                <w:rtl w:val="0"/>
              </w:rPr>
              <w:t xml:space="preserve"> panta trešajā daļā minētā informācija satur komercnoslēpumu, tirgus dalībniekam ir tiesības to neizsniegt.".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anotāciju atbilstoši veiktajiem precizējumiem par 37.</w:t>
            </w:r>
            <w:r w:rsidR="00000000" w:rsidRPr="00000000" w:rsidDel="00000000">
              <w:rPr>
                <w:vertAlign w:val="superscript"/>
                <w:rtl w:val="0"/>
              </w:rPr>
              <w:t xml:space="preserve">5</w:t>
            </w:r>
            <w:r w:rsidR="00000000" w:rsidRPr="00000000" w:rsidDel="00000000">
              <w:rPr>
                <w:rtl w:val="0"/>
              </w:rPr>
              <w:t xml:space="preserve"> pantu. Anotācijas 1.3.sadaļā norādīts, ka "tiek arī noteiktas tiesības pārvades sistēmas operatoram, pildot tam noteiktās funkcijas, pieprasīt un bez maksas saņemt no tirgus dalībniekiem nepieciešamo informāciju, </w:t>
            </w:r>
            <w:r w:rsidR="00000000" w:rsidRPr="00000000" w:rsidDel="00000000">
              <w:rPr>
                <w:u w:val="single"/>
                <w:rtl w:val="0"/>
              </w:rPr>
              <w:t xml:space="preserve">tajā skaitā komercnoslēpumu saturošu informāciju</w:t>
            </w:r>
            <w:r w:rsidR="00000000" w:rsidRPr="00000000" w:rsidDel="00000000">
              <w:rPr>
                <w:rtl w:val="0"/>
              </w:rPr>
              <w:t xml:space="preserve">, un pārkāpumu konstatēšanas gadījumā nodot to regulatoram un Energoregulatoru sadarbības aģentūrai", neskatoties uz likumprojektā noteiktajām tirgus dalībnieka tiesībām šādu komercnoslēpumu saturošu informāciju neizsniegt.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8. pantā (Elektroenerģijas tirgus likuma 9.</w:t>
            </w:r>
            <w:r w:rsidR="00000000" w:rsidRPr="00000000" w:rsidDel="00000000">
              <w:rPr>
                <w:vertAlign w:val="superscript"/>
                <w:rtl w:val="0"/>
              </w:rPr>
              <w:t xml:space="preserve">2</w:t>
            </w:r>
            <w:r w:rsidR="00000000" w:rsidRPr="00000000" w:rsidDel="00000000">
              <w:rPr>
                <w:rtl w:val="0"/>
              </w:rPr>
              <w:t xml:space="preserve"> panta pirmajā daļā) ietverta atsauce uz </w:t>
            </w:r>
            <w:r w:rsidR="00000000" w:rsidRPr="00000000" w:rsidDel="00000000">
              <w:rPr>
                <w:i w:val="1"/>
                <w:rtl w:val="0"/>
              </w:rPr>
              <w:t xml:space="preserve">Eiropas Parlamenta un Padomes 2019. gada 5. jūnija Regulas (ES) 2019/943 par elektroenerģijas iekšējo tirgu</w:t>
            </w:r>
            <w:r w:rsidR="00000000" w:rsidRPr="00000000" w:rsidDel="00000000">
              <w:rPr>
                <w:rtl w:val="0"/>
              </w:rPr>
              <w:t xml:space="preserve"> (turpmāk – Regula Nr. 2019/943) 19.e pantu. Līdz ar to, aicinām likumprojekta sasaisti ar regulu atspoguļot anotācijas 5.4. sadaļas 1. tabulā. Minētās tabulas mērķis ir parādīt, kā nacionālais tiesību akts atbilst attiecīgajam Eiropas Savienības tiesību aktam un nodrošina tā prasību izpildi. Skaidrojam, ka atsauču uz regulu un tās vienībām ietveršana normatīvajos aktos pēc būtības ir regulas prasību ieviešana, jo tādējādi tiek nodrošināta regulas prasību praktiskā piemērošana.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skaidrots, ka likumprojekta 12. pants (Elektroenerģijas tirgus likuma 22. panta 2</w:t>
            </w:r>
            <w:r w:rsidR="00000000" w:rsidRPr="00000000" w:rsidDel="00000000">
              <w:rPr>
                <w:vertAlign w:val="superscript"/>
                <w:rtl w:val="0"/>
              </w:rPr>
              <w:t xml:space="preserve">1</w:t>
            </w:r>
            <w:r w:rsidR="00000000" w:rsidRPr="00000000" w:rsidDel="00000000">
              <w:rPr>
                <w:rtl w:val="0"/>
              </w:rPr>
              <w:t xml:space="preserve"> daļa) atbilst </w:t>
            </w:r>
            <w:r w:rsidR="00000000" w:rsidRPr="00000000" w:rsidDel="00000000">
              <w:rPr>
                <w:i w:val="1"/>
                <w:rtl w:val="0"/>
              </w:rPr>
              <w:t xml:space="preserve">Eiropas Parlamenta un Padomes 2011. gada 13. decembra Direktīvas 2011/92/ES par dažu sabiedrisku un privātu projektu ietekmes uz vidi novērtējumu </w:t>
            </w:r>
            <w:r w:rsidR="00000000" w:rsidRPr="00000000" w:rsidDel="00000000">
              <w:rPr>
                <w:rtl w:val="0"/>
              </w:rPr>
              <w:t xml:space="preserve">(turpmāk - Direktīva 2011/92/ES) tvērumam. Attiecīgi aicinām papildināt anotācijas 5. sadaļu attiecībā uz Direktīvu 2011/92/ES.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8.1.13. apakšpunktu, sniedzot skaidru un saprotamu informāciju par likumprojektā paredzēto personu datu apstrādi, norādot tiesisko pamatojumu personu datu apstrādei (tostarp arī spēkā esošu ārējo normatīvo aktu (-us) un tā normu (-as), no kā ir izsecināma nepieciešamība apstrādāt personu datus projektā paredzētajā veidā), kā arī sniedzot īsu un kodolīgu skaidrojumu par paredzēto personu datu apstrādi – kādu datu subjektu un kādu kategoriju datus paredz apstrādāt likumprojekts, kādos konkrētos nolūkos, papildus norādot arī – vai personu dati tiks glabāti un kāds būs datu glabāšanas termiņš, kāds ir pamatojums glabāšanas termiņam, kā arī informāciju par to, vai dati tiks nodoti citām institūcijām un kādā nolūkā.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ņemot vērā anotācijā minēto, ka pārvades sistēmas operatoram tiks nodrošināta piekļuve arī personas datiem, ievērojot Vispārīgās datu aizsardzības regulas likumīguma, godprātības un pārredzamības principus, tas attiecīgi ir atspoguļojams likumprojektā, skaidri nosakot tajā iegūstamo personas datu apjomu, apstrādes nolūku un tiesisko pamatu. Ja attiecīgie apstrādes noteikumi ir paredzēti citā ārējā normatīvajā aktā, iesakām to skaidrot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25-TA-409</w:t>
    </w:r>
    <w:r>
      <w:br/>
    </w:r>
    <w:r w:rsidR="00000000" w:rsidRPr="00000000" w:rsidDel="00000000">
      <w:rPr>
        <w:rtl w:val="0"/>
      </w:rPr>
      <w:t xml:space="preserve">Izdrukāts 13.05.2026. 16.38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25-TA-409</w:t>
    </w:r>
    <w:r>
      <w:br/>
    </w:r>
    <w:r w:rsidR="00000000" w:rsidRPr="00000000" w:rsidDel="00000000">
      <w:rPr>
        <w:rtl w:val="0"/>
      </w:rPr>
      <w:t xml:space="preserve">Izdrukāts 13.05.2026. 16.38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Atzinumi_25-TA-409.docx</dc:title>
</cp:coreProperties>
</file>

<file path=docProps/custom.xml><?xml version="1.0" encoding="utf-8"?>
<Properties xmlns="http://schemas.openxmlformats.org/officeDocument/2006/custom-properties" xmlns:vt="http://schemas.openxmlformats.org/officeDocument/2006/docPropsVTypes"/>
</file>