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2025.gada 12.augusta sēdes protokollēmuma (prot. Nr. 31 73. §) 4.punktā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kopumā atbalstīja grozījumu nepieciešamību, tomēr uzskatīja, ka būtu pusēm jādod nepārprotama iespēja vienoties par vairāk nekā vienu prombūtnes dienu, neizmantojot darbnespējas lapu, kā arī jānosaka tiesības šādu prombūtnes dienu apmaksāt valsts un pašvaldību institūcijās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"ziņojumā vārdus "kā arī jānosaka pienākums šādu prombūtnes dienu apmaksāt"  aizstāt ar vārdiem "kā arī jānosaka tiesības šādu prombūtnes dienu apmaksāt valsts un pašvaldību institūcijās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26.01.2026.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26.01.2026.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Atzinumi_25-TA-2946.docx</dc:title>
</cp:coreProperties>
</file>

<file path=docProps/custom.xml><?xml version="1.0" encoding="utf-8"?>
<Properties xmlns="http://schemas.openxmlformats.org/officeDocument/2006/custom-properties" xmlns:vt="http://schemas.openxmlformats.org/officeDocument/2006/docPropsVTypes"/>
</file>