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izteikt 17.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"17) attīstīt dabasgāzes pārvades sistēmu atjaunīgo un mazoglekļa gāzu, tostarp ūdeņraža drošai ievadīšanai dabasgāzes pārvades sistēmā.”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  precizēt likumprojekta 5.panta otro daļu atbilstoši juridiskās tehnikas prasībām (</w:t>
            </w:r>
            <w:r w:rsidR="00000000" w:rsidRPr="00000000" w:rsidDel="00000000">
              <w:rPr>
                <w:i w:val="1"/>
                <w:rtl w:val="0"/>
              </w:rPr>
              <w:t xml:space="preserve">papildināt ar 17.punktu šādā redakcijā</w:t>
            </w:r>
            <w:r w:rsidR="00000000" w:rsidRPr="00000000" w:rsidDel="00000000">
              <w:rPr>
                <w:rtl w:val="0"/>
              </w:rPr>
              <w:t xml:space="preserve">), ņemot vērā, ka spēkā esošā likuma 113.pantam nav 17.punkta.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spēkā stāšanās laiku, jo likumprojekts paredz, ka "Likums stājas spēkā nākamajā dienā pēc tā izsludināšanas.", kas nav vispārējā kārtība kā tas norādīts anotācijas 1.2.sadaļā.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23-TA-2498</w:t>
    </w:r>
    <w:r>
      <w:br/>
    </w:r>
    <w:r w:rsidR="00000000" w:rsidRPr="00000000" w:rsidDel="00000000">
      <w:rPr>
        <w:rtl w:val="0"/>
      </w:rPr>
      <w:t xml:space="preserve">Izdrukāts 27.10.2023.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23-TA-2498</w:t>
    </w:r>
    <w:r>
      <w:br/>
    </w:r>
    <w:r w:rsidR="00000000" w:rsidRPr="00000000" w:rsidDel="00000000">
      <w:rPr>
        <w:rtl w:val="0"/>
      </w:rPr>
      <w:t xml:space="preserve">Izdrukāts 27.10.2023.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