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25-TA-1409: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kritērijiem un kārtību, kādā tiek izraudzītas nevalstiskās organizācijas darbam Sabiedrības integrācijas fonda padomē, un atlīdzību Sabiedrības integrācijas fonda padomes locekļiem, kuri ir nevalstisko organizāciju pārstāvji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Noteikumi par kritērijiem un kārtību, kādā tiek izraudzītas nevalstiskās organizācijas darbam Sabiedrības integrācijas fonda padomē, un atlīdzību Sabiedrības integrācijas fonda padomes locekļiem, kuri ir nevalstisko organizāciju pārstāvji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Latvijas Darba devēju konfederācija </w:t>
            </w:r>
            <w:r w:rsidR="00000000" w:rsidRPr="00000000" w:rsidDel="00000000">
              <w:rPr>
                <w:b w:val="1"/>
                <w:rtl w:val="0"/>
              </w:rPr>
              <w:t xml:space="preserve">turpina uzturēt iepriekš pausto iebildumu</w:t>
            </w:r>
            <w:r w:rsidR="00000000" w:rsidRPr="00000000" w:rsidDel="00000000">
              <w:rPr>
                <w:rtl w:val="0"/>
              </w:rPr>
              <w:t xml:space="preserve"> par būtisko atlīdzības apmēra palielinājumu Sabiedrības integrācijas fonda padomes locekļiem, kas ir nevalstisko organizāciju pārstāvji, līdz 201,76 EUR par vienu padomes sēdi.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Lai gan anotācijā ir paskaidrots, kā tika ņemti vērā inflācijas rādītāji un citu institūciju atlīdzības prakse</w:t>
            </w:r>
            <w:r w:rsidR="00000000" w:rsidRPr="00000000" w:rsidDel="00000000">
              <w:rPr>
                <w:b w:val="1"/>
                <w:rtl w:val="0"/>
              </w:rPr>
              <w:t xml:space="preserve"> šis pamatojums nav pietiekams</w:t>
            </w:r>
            <w:r w:rsidR="00000000" w:rsidRPr="00000000" w:rsidDel="00000000">
              <w:rPr>
                <w:rtl w:val="0"/>
              </w:rPr>
              <w:t xml:space="preserve">, ņemot vērā: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1) </w:t>
            </w:r>
            <w:r w:rsidR="00000000" w:rsidRPr="00000000" w:rsidDel="00000000">
              <w:rPr>
                <w:b w:val="1"/>
                <w:rtl w:val="0"/>
              </w:rPr>
              <w:t xml:space="preserve">ka pieaugums ir vairāk nekā 69 %</w:t>
            </w:r>
            <w:r w:rsidR="00000000" w:rsidRPr="00000000" w:rsidDel="00000000">
              <w:rPr>
                <w:rtl w:val="0"/>
              </w:rPr>
              <w:t xml:space="preserve"> salīdzinājumā ar spēkā esošo regulējumu;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2) ka </w:t>
            </w:r>
            <w:r w:rsidR="00000000" w:rsidRPr="00000000" w:rsidDel="00000000">
              <w:rPr>
                <w:b w:val="1"/>
                <w:rtl w:val="0"/>
              </w:rPr>
              <w:t xml:space="preserve">nav veikta izmaksu un ieguvumu analīze</w:t>
            </w:r>
            <w:r w:rsidR="00000000" w:rsidRPr="00000000" w:rsidDel="00000000">
              <w:rPr>
                <w:rtl w:val="0"/>
              </w:rPr>
              <w:t xml:space="preserve"> vai sniegts izvērtējums, kā šāds palielinājums ietekmēs Fonda budžetu ilgtermiņā;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3) ka </w:t>
            </w:r>
            <w:r w:rsidR="00000000" w:rsidRPr="00000000" w:rsidDel="00000000">
              <w:rPr>
                <w:b w:val="1"/>
                <w:rtl w:val="0"/>
              </w:rPr>
              <w:t xml:space="preserve">Ministru kabineta 2025. gada 13. maija protokolā Nr. 19 </w:t>
            </w:r>
            <w:r w:rsidR="00000000" w:rsidRPr="00000000" w:rsidDel="00000000">
              <w:rPr>
                <w:rtl w:val="0"/>
              </w:rPr>
              <w:t xml:space="preserve">ir noteikts uzdevums samazināt vispārējās valdības izdevumus vismaz par 450 milj. EUR līdz 2028. gadam, tostarp 150 milj. EUR jau 2026. gadā.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Uzskatām, ka </w:t>
            </w:r>
            <w:r w:rsidR="00000000" w:rsidRPr="00000000" w:rsidDel="00000000">
              <w:rPr>
                <w:b w:val="1"/>
                <w:rtl w:val="0"/>
              </w:rPr>
              <w:t xml:space="preserve">atlīdzības būtisks palielinājums ir pretrunā ar valdības uzstādīto fiskālās disciplīnas un budžeta optimizācijas virzienu</w:t>
            </w:r>
            <w:r w:rsidR="00000000" w:rsidRPr="00000000" w:rsidDel="00000000">
              <w:rPr>
                <w:rtl w:val="0"/>
              </w:rPr>
              <w:t xml:space="preserve">, un tādēļ </w:t>
            </w:r>
            <w:r w:rsidR="00000000" w:rsidRPr="00000000" w:rsidDel="00000000">
              <w:rPr>
                <w:b w:val="1"/>
                <w:rtl w:val="0"/>
              </w:rPr>
              <w:t xml:space="preserve">atkārtoti aicinām pārskatīt atlīdzības apmēru</w:t>
            </w:r>
            <w:r w:rsidR="00000000" w:rsidRPr="00000000" w:rsidDel="00000000">
              <w:rPr>
                <w:rtl w:val="0"/>
              </w:rPr>
              <w:t xml:space="preserve">, kā arī </w:t>
            </w:r>
            <w:r w:rsidR="00000000" w:rsidRPr="00000000" w:rsidDel="00000000">
              <w:rPr>
                <w:b w:val="1"/>
                <w:rtl w:val="0"/>
              </w:rPr>
              <w:t xml:space="preserve">ietvert anotācijā skaidru, datos balstītu pamatojumu par nepieciešamību un samērīgumu.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Signija Zandere (LDDK)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25-TA-1409</w:t>
    </w:r>
    <w:r>
      <w:br/>
    </w:r>
    <w:r w:rsidR="00000000" w:rsidRPr="00000000" w:rsidDel="00000000">
      <w:rPr>
        <w:rtl w:val="0"/>
      </w:rPr>
      <w:t xml:space="preserve">Izdrukāts 08.11.2025. 17.31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25-TA-1409</w:t>
    </w:r>
    <w:r>
      <w:br/>
    </w:r>
    <w:r w:rsidR="00000000" w:rsidRPr="00000000" w:rsidDel="00000000">
      <w:rPr>
        <w:rtl w:val="0"/>
      </w:rPr>
      <w:t xml:space="preserve">Izdrukāts 08.11.2025. 17.31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Atzinumi_25-TA-1409.docx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