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projektiem rūpniecisko spēju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lūdzam papildināt noteikumu projekta izdošanas pamatu (deleģējumu) ar atsauci uz Eiropas Savienības fondu 2021.–2027. gada plānošanas perioda vadības likuma 19. panta 13. punktu, ņemot vērā, ka pasākums tiks īstenots arī granta veidā. Minēto lūdzam precizēt arī anotācijas 1.1.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redakcionāli precizēt MK noteikumus un to anotāciju atbilstoši š.g. 6.janvāra sanāksmē panāktajai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kapitāla atlaide – atbalsta sastāvdaļa, kas ir sniegtā aizdevuma vai garantijas pamatsummas daļējs vai pilnīgs samazinājums, kas tiek piemērots otrās projektu pieteikumu atlases kārtas ietvaros, ja atbalsta saņēmējs izpilda šajos noteikumos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"otrajā un turpmākajās projektu pieteikumu atlases kārtas ietvaros", atbilstoši MKN un anotācijā norādītajai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 atbalsta sastāvdaļa, kas ir sniegtā aizdevuma vai garantijas pamatsummas daļējs vai pilnīgs samazinājums, kas tiek piemērots otrajā un turpmākajās projektu pieteikumu atlases kārtās, ja atbalsta saņēmējs izpilda šajos noteikumos minētos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gala saņēmējs – Latvijas Republikas komercreģistrā reģistrēts komersants, kas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fondu 2021.–2027. gada plānošanas perioda vadības likumā lietotajai terminoloģijai attiecīgais subjekts ir definēts kā “finansējuma saņēmējs”. Attiecīgi, ja termins “gala saņēmējs” regulējumā ir paredzēts finanšu instrumentu daļai, lūdzam nodrošināt konsekventu abu terminu lietojumu, regulējumā skaidri nodalot “finansējuma saņēmēju”, kas ir komersants, kas saņem atbalstu granta veidā, un “gala saņēmēju”, kas attiecināms uz ALTUM īstenoto finanšu instrumentu daļu, vai papildināt anotāciju ar skaidrojumu, ka grantu gadījumā gala saņēmējs Likuma izpratnē ir projekta iesniedzējs, citādi minētais rada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Pasākumam pieejamais un plānotais kopējais Eiropas Reģionālā attīstības fonda un valsts budžeta finansējums un pasākuma ietvaros sasniedzamie rādītāji līdz 2029. gada 31. decembrim ir noteikti saskaņā ar normatīvo aktu, kas nosaka Eiropas Savienības kohēzijas politikas programmas 2021.–2027. gadam ietvaros izmantojamo finanšu instrumentu īstenošanas kārtību, pieejamo finansējumu,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izvērtēt MKN nepārprotami norādīt projekta īstenošanas beigu termiņu un rādītāju sasniegšanas termiņu, jo 4.punktā ir norādīts, ka finansējums un rādītāji ir noteikti līdz 31.12.2029. saskaņā ar  normatīvo aktu… (no šāda formulējuma nav iespējams secināt, kāds ir projekta īstenošanas beigu termiņs un rādītaju sasniegšanas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Aģentūra organizē projektu pieteikumu atlases pirmo kārtu ierobežotas projektu pieteikumu atlases veidā par kopējo finansējumu 35 000 000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atsevišķi norādot ERAF un valsts budžeta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Granta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pirmās atlases kārtas plānotajiem rādītājiem, t.sk. ar rezultāta rādītāju </w:t>
            </w:r>
            <w:r w:rsidR="00000000" w:rsidRPr="00000000" w:rsidDel="00000000">
              <w:rPr>
                <w:i w:val="1"/>
                <w:rtl w:val="0"/>
              </w:rPr>
              <w:t xml:space="preserve">“Publisko atbalstu (tai skaitā: granti, finanšu instrumenti) papildinošās privātās investīcijas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Gala saņēmējam atbalsts tiek sniegts granta veidā. Grantu piešķir kā finansējumu, kas šo noteikumu ietvaros tiek piešķirts vienīgi militārā jomā un nav kvalificējams kā komercdarbības atbalsts, ja Aizsardzības ministrija atzinumā nosaka militārā produkta atbilstību būtiskām valsts drošības interesēm saskaņā ar šo noteikumu 2.1.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precizēt 14.punkta formulējumu, lai būtu nepārprotami skaidrs, ka grantu var piešķirt tika tad, ja nav komercdarbības atbalsts, ja tas ir plānots šo MKN kontekstā (t.i.izpildās šādi nosacījumi: tiek sniegts militārās jomas produktu, kas saistīts ar ieroču, munīcijas un militārā aprīkojuma ražošanu un atbilst Eiropas Savienības Kopējā militāro preču sarakstam, un atbilst būtiskām Latvijas valsts drošības interesēm ) </w:t>
            </w:r>
            <w:r w:rsidR="00000000" w:rsidRPr="00000000" w:rsidDel="00000000">
              <w:rPr>
                <w:i w:val="1"/>
                <w:rtl w:val="0"/>
              </w:rPr>
              <w:t xml:space="preserve">Šobrīd 14.punktā norādītais formulējums: ", ja Aizsardzības ministrija atzinumā nosaka militārā produkta atbilstību būtiskām valsts drošības interesēm saskaņā ar šo noteikumu 2.1. apakšpunktu" pieļauj iespēju, ka šajā atzinumā var būt secinājums,  ka neatbilst valsts drošības interesēm. MKN noteikumos nevar nolasīt, kāda ir  rīcība, ja ir šāds atzinums.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Gala saņēmēju un tā projektu pieteikumu vērtē komisija, kuras sastāvā ir pārstāvji no Aizsardzības ministrijas, kas vērtē projekta aizsardzības spēju nozīmi atbilstoši valsts būtiskām interesēm, Ekonomikas ministrijas un Aģentūras, kas nosaka projekta atbilstību vienotajiem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22.jūlija noteikumu Nr.469 "Grozījumi Ministru kabineta 2023. gada 13. jūlija noteikumos Nr.408 "Kārtība, kādā Eiropas Savienības fondu vadībā iesaistītās institūcijas nodrošina šo fondu ieviešanu 2021.-2027. gada plānošanas periodā" mērķim atbildīgā iestāde  var piemērot minēto vienkāršoto projekta iesniegumu atlases vērtēšanas procesu, sniedzot pamatotu skaidrojumu Ministru kabineta noteikumu par specifisko atbalsta mērķi sākotnējā ietekmes novērtējumā (anotācijā). Aicinām papildināt noteikumu projektu ar attiecīgu pamatojumu, kā piemēram tiek īstenots sabiedrībai vai tautsaimniecībai nozīmīga projekta īstenošana, kā rezultātā konkrētajā pasākumā tiks izvērtēti tikai vienotie un vienotie izvēles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Korporācijas projekta pieteikuma apstiprināšanas Aģentūra noslēdz civiltiesisku līgumu ar gala saņēmēju. Ja Granta līgums netiek īstenots atbilstoši tajā ietvertajiem nosacījumiem, Aģentūrai ir tiesības to vienpusēji izbeigt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minētajā punktā teikuma daļu “un atgūt neatbilstoši izmaksāto finansējumu”, ņemot vērā, ka noteikumu 24. punkts paredz granta piešķiršanu tikai pēc pēcuzraudzības rādītāju izpildes. Līdz ar to minētā norma ir formāla un praktiski nepiemērojama.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Eiropas Savienības kohēzijas politikas programmā  2021.—2027. gadam un pasākuma mērķī (4.punkts) lietoto terminoloģiju - "rūpnīcas, kā arī ražošanai nepieciešamās infrastruktūras attīstīšana". Lai mazinātu interpretācijas iespējas, aicinām visā MK noteiktumu projektā izmantot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MKN trūkst skaidras struktūras, kurā definētas atbalstāmās darbības un izmaksas. Lūdzam izskatīt iespēju skaidri izdalīt atbalstāmās darbības un izmaksas</w:t>
            </w:r>
            <w:r w:rsidR="00000000" w:rsidRPr="00000000" w:rsidDel="00000000">
              <w:rPr>
                <w:i w:val="1"/>
                <w:rtl w:val="0"/>
              </w:rPr>
              <w:t xml:space="preserve"> ir pieejamas vadlinijas par MKN izstrādi: https://www.esfondi.lv/normativie-akti-un-dokumenti/2021-2027-planosanas-periods/nr-1-4-vadlinijas-ministru-kabineta-noteikumu-par-specifiska-atbalsta-merka-istenosanu-izstradei-eiropas-savienibas-fondu-2021-2027-gada-planosanas-perioda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precīzi MKN vai anotācijā norādīt, t.sk.:</w:t>
            </w:r>
            <w:r w:rsidR="00000000" w:rsidRPr="00000000" w:rsidDel="00000000">
              <w:rPr>
                <w:i w:val="1"/>
                <w:rtl w:val="0"/>
              </w:rPr>
              <w:t xml:space="preserve">a) kas ir pārējie aktīvi, t.sk. Aicinām norādīt ari šo informāciju par autoruzraudzību un projektēšanu;</w:t>
            </w:r>
            <w:r w:rsidR="00000000" w:rsidRPr="00000000" w:rsidDel="00000000">
              <w:rPr>
                <w:i w:val="1"/>
                <w:rtl w:val="0"/>
              </w:rPr>
              <w:t xml:space="preserve">b) jāparedz būvuzraudzību, jo būvniecības gadījumā būvuzraudzība ir obligāta;</w:t>
            </w:r>
            <w:r w:rsidR="00000000" w:rsidRPr="00000000" w:rsidDel="00000000">
              <w:rPr>
                <w:i w:val="1"/>
                <w:rtl w:val="0"/>
              </w:rPr>
              <w:t xml:space="preserve">c) izskatīt iespēju iekļaut ari citas, ar projektu saistītas izmaksas, piemēram, projekta vadības izmaksas, neparedzētos izdevumus, komunikācijas pasākumu izmaksas. Ir pieejamas vadlinijas par to: https://www.esfondi.lv/normativie-akti-un-dokumenti/2021-2027-planosanas-periods/vadlinijas-attiecinamo-izmaksu-noteiksanai-eiropas-savienibas-kohezijas-politikas-programmas-2021-2027-gada-planosanas-perioda</w:t>
            </w:r>
            <w:r w:rsidR="00000000" w:rsidRPr="00000000" w:rsidDel="00000000">
              <w:rPr>
                <w:i w:val="1"/>
                <w:rtl w:val="0"/>
              </w:rPr>
              <w:t xml:space="preserve">Vēršam uzmanību, ka projekta izmaksas pārsniegs 10 miljonus, līdz ar to šis ir stratēģiskas nozīmes projekts. Atbilstoši komunikācijas un dizaina noteikumiem par stratēģiskas nozīmes darbībām un darbībām, kuru kopējās izmaksas pārsniedz 10 000 000 EUR, attiecīgā gadījumā organizē informatīvu pasākumu vai aktivitāti un savlaicīgi iesaista Komisiju un atbildīgo vadošo iestādi.</w:t>
            </w:r>
            <w:r w:rsidR="00000000" w:rsidRPr="00000000" w:rsidDel="00000000">
              <w:rPr>
                <w:i w:val="1"/>
                <w:rtl w:val="0"/>
              </w:rPr>
              <w:t xml:space="preserve">https://www.esfondi.lv/guidelines_and_regulations_assets/ek_komunikacijas-un-redzamibas-noteikumi.pdf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ēkas un būves ir jaunas;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Atbilstoši Būvniecības likuma 1.panta  trešajā daļā norādītajam:  būve — būvdarbu rezultātā radusies ar zemi vai gultni saistīta ķermeniska lieta (ēka vai inženierbūve). Minētā likuma 11.panta pirmajā daļā ir norādīts: Būves iedala ēkās un inženierbūvēs.</w:t>
            </w:r>
            <w:r w:rsidR="00000000" w:rsidRPr="00000000" w:rsidDel="00000000">
              <w:rPr>
                <w:i w:val="1"/>
                <w:rtl w:val="0"/>
              </w:rPr>
              <w:t xml:space="preserve"> Līdz ar to ēka arī ir būve, savukārt citas būves var būt inženierbūves.</w:t>
            </w:r>
            <w:r w:rsidR="00000000" w:rsidRPr="00000000" w:rsidDel="00000000">
              <w:rPr>
                <w:i w:val="1"/>
                <w:rtl w:val="0"/>
              </w:rPr>
              <w:t xml:space="preserve">Aicinām precizēt formulējumu MKN vai anotācijā, nepārprotami skaidri norādot, kādas inženierbūves plānots attiecināt.</w:t>
            </w:r>
            <w:r w:rsidR="00000000" w:rsidRPr="00000000" w:rsidDel="00000000">
              <w:rPr>
                <w:i w:val="1"/>
                <w:rtl w:val="0"/>
              </w:rPr>
              <w:t xml:space="preserve">Tāpat aicinām pārskatīt formulējumu, vai domātas tikai ēkas, vai arī ar ēkām iespējama saistītā infrastruktūra - piemēram, elektrības pieslēgumi, ceļi, laukumi utt. ir attiecināmi. Tāpat var būt  palīgēkas, ārējās ugunsdzēsības infrastruktūra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pārējie aktīvi, kas nav minēti šo noteikumu 20.1.apakšpunktā, ir jauni;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precīzāk skaidrot, kas ir pārējie aktīvi (vai norādīt MK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zemes iegādes izmaksas nav attiecināmas, ja summa pārsniedz 10 % no attiecīgās darbības kopējiem attiecināmajiem izdevumiem; attiecībā uz pamestām teritorijām un bijušajām rūpniecības teritorijām, kurās ir ēkas, saskaņā ar regulas 2021/1060 64. panta 1. 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precizēt "no attiecīgās darbības kopējiem attiecināmajiem izdevumiem" nozīmi. Vai ar "attiecīgā darbība" ir domāta būvniecība, iekārtu iegāde, vai visas projekta attiecināmās izmaksas? </w:t>
            </w:r>
            <w:r w:rsidR="00000000" w:rsidRPr="00000000" w:rsidDel="00000000">
              <w:rPr>
                <w:i w:val="1"/>
                <w:rtl w:val="0"/>
              </w:rPr>
              <w:t xml:space="preserve">Ierosinām izskatīt iespēju ari pārformulēt, piemēram: ir attiecināmas zemes iegādes izmaksas, nepārsniedzot 10 procentus no projekta kopējām attiecināmajām izmaksām, ja zemes iegāde nepieciešama projekta ietvaros (attiecīgi pamatojot, kam tā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Gala saņēmējs projekta īstenošanai var piesaistīt projekta īstenotāju, kas ir saistītais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CFLA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21.1.apakšpunkta redakciju, dzēšot "bet kurš ir ārpus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ir norādīts, ka Gala saņēmējs projekta īstenošanai var piesaistīt projekta īstenotāju, kas ir saistītais uzņēmums. Saskaņā ar 2021. gada 16. jūnija Eiropas Savienības fondu 2021.–2027. gada plānošanas perioda vadības likumu  finansējuma saņēmējs ir tiesīgs īstenot projektu kopā ar sadarbības partneri. Lūdzam regulējumu papildināt ar sadarbības partnera jēdzienu un tā atbalstāmajām darbībām vai anotācijā sniegt detalizētu skaidrojumu, ko šī regulējuma izpratnē nozīmē termins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 granta daļu būtu jāievēro ES fondu plānošanas perioda 21-27 vadības likuma terminoloģija. Tajā ir finansējuma saņēmējs, kuram ir tiesības īstenot projektu 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Gala saņēmējs projekta īstenošanai var piesaistīt projekta īstenotāju, kas ir saistītais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jaunajā noteikumu redakcijā 22. punktā ietvertajos apakšpunktos noteiktos </w:t>
            </w:r>
            <w:r w:rsidR="00000000" w:rsidRPr="00000000" w:rsidDel="00000000">
              <w:rPr>
                <w:b w:val="1"/>
                <w:rtl w:val="0"/>
              </w:rPr>
              <w:t xml:space="preserve">sasniedzamos rādītājus</w:t>
            </w:r>
            <w:r w:rsidR="00000000" w:rsidRPr="00000000" w:rsidDel="00000000">
              <w:rPr>
                <w:rtl w:val="0"/>
              </w:rPr>
              <w:t xml:space="preserve">, proti, “Atbalstītie uzņēmumi, kas galvenokārt saistīti ar divējāda lietojuma un aizsardzības spēju veicināšanu (RearmEU) – 1” un “Ar finanšu instrumentiem atbalstītie uzņēmumi – 1”, ņemot vērā, ka pirmajā atlases kārtā nav paredzēts atbalsts ne divējāda lietojuma, ne finanšu instrumentu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kas ir līdz 35 procentiem no projekta attiecināmajām izmaksām, bet ne vairāk kā 35 000 000 euro, ko sedz no pasākumā piešķirtā publiskā finansējuma. Grants tiek piešķirts pēc pēcuzraudzības rādītāju izpildes saskaņā ar šo noteikumu 24.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MKN projekta 83. punktā ir noteikts "Ja atbalstam piesakās Korporācija, tai atbalstu piešķir brīdī, kad Aģentūra pieņem lēmumu par granta piešķiršanu [..]".</w:t>
            </w:r>
            <w:r w:rsidR="00000000" w:rsidRPr="00000000" w:rsidDel="00000000">
              <w:rPr>
                <w:i w:val="1"/>
                <w:rtl w:val="0"/>
              </w:rPr>
              <w:t xml:space="preserve">Skaidrojam, ka Aģentūra izdod lēmumu pēc projekta iesnieguma izvērtēšanas (projekts nav vēl īstenots un pēcuzraudzības rādītāji nav sasniegti) apstiprinot projekta iesnieguma izmaksas (t.sk. grantu), kurā nav komercdarbības atbalsta. Savukārt 23.punkts paredz grantu piešķirt pēc pēcuzraudzības rādītājiem. Lūdzam izvērtēt formulējumus 23. un 83.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kas ir līdz 35 procentiem no projekta attiecināmajām izmaksām, bet ne vairāk kā 35 000 000 euro, ko sedz no pasākumā piešķirtā publiskā finansējuma. Grants tiek piešķirts pēc pēcuzraudzības rādītāju izpildes saskaņā ar šo noteikumu 24.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papildināt noteikumu projektu ar punktu, kas nosaka, ka finansējuma saņēmējs projekta īstenošanas laikā reizi sešos mēnešos iesniedz projekta progresa pārskatu, kurā sniedz informāciju par projekta īstenošanas gaitu, sasniegtajiem rādītājiem, tādējādi nodrošinot Sadarbības iestādei iespēju sekot līdzi projekta īstenošanas progresam un savlaicīgi identificēt iespējamos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24.punktā ir sniegta atsauce uz MKN projekta 56. punktu, taču 56.punkts ir attiecināms uz aizdevuma ar kapitāla atlaidi piešķiršanas nosacījumiem, nevis granta piešķiršanas nosacījumiem (MKN projekta III daļa).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atlikušais laiks pēc projekta pabeigšanas un pēcuzraudzības perioda sākuma varētu būt mazāks par trim gadiem, aicinām papildināt formulējumu ar nosacījumu: “… un ne vēlāk kā līdz 2029.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pie gala saņēmēja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Kopsavilkums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kapitāla atlaidi vai piešķirtu grantu visiem projektiem ir jāsasniedz vienādi pēcuzraudzības rādītāji. Pēcuzraudzības periods ilgst 3 gadus, izņēmums ir militārās jomas produktu projekti, kas atbilst būtiskām valsts drošības interesēm, pēcuzraudzības rādītājus drīkst sasniegt tikai vienā no trīs gadiem. Katru gadu pēc pēcuzraudzības rādītāju sasniegšanas kapitāla atlaidi piemēro kā vienu trešo daļu no kopējā kapitāla atlaides apmēra. Grantu savukārt piešķir pilnā apmērā uzreiz pēc tā pēcuzraudzības gada, kad sasniegti pēcuzraudzības rādītāji, kas minēti Noteikumu projekta 24. punktā. Lēmumu par pēcuzraudzības rādītāju sasniegšanu pieņem EM un grantu piešķir Aģentūra,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ietvertā regulējuma neizriet, kā juridiski korekti būtu jāizprot termins "pēcuzraudzības periods" (no kura brīža sākas pēcuzraudzības periods),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atzinuma 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granta saņemšanas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vai Noteikumu projekta 24.3.apakšpunktā minētā informācija tiks pieprasīta Valsts ieņēmumu dienestam.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lūdz precizēt minēto  Noteikumu projektā un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pie gala saņēmēja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tekstu "Valsts sociālās apdrošināšanas aģentūras"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projekta pilnīgas pabeigšanas un gala saņēmēja iesnieguma saņemšanas par pēcuzraudzības uzsākšanu, piemēro šo noteikumu 24., 25., 55., 56. un 58.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28.punktā ir sniegta atsauce uz MKN projekta 56.punktu, taču 56.punkts ir attiecināms uz aizdevuma ar kapitāla atlaidi piešķiršanas nosacījumiem, nevis granta piešķiršanas nosacījumiem (MKN projekta III daļa), proti, 56.punktā ir ietverta atsauce uz 52.punktu, kurā noteikti sasniedzamie rādītāji kapitāla atlaides piemērošanai.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55.1., 55.2. un 58. punktu. Ja gala saņēmējs nesniedz pēcuzraudzības izvērtēšanai nepieciešamo informāciju, grants netiek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55.punkts ir precizējams un pārskatāms, lūdzam precizēt Noteikumu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32.punktā  skaitli un vārdu "55.1., 55.2. [..] punkts", ar skaitli un vārdu "55.punktu".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55.1., 55.2. un 58. punktu. Ja gala saņēmējs nesniedz pēcuzraudzības izvērtēšanai nepieciešamo informāciju, grants netiek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punkta daļa “Ja gala saņēmējs nesniedz pēcuzraudzības izvērtēšanai nepieciešamo informāciju, grants netiek piešķirts” dublē noteikumu 29. punktā ietverto regulējumu. Lūdzam izvērtēt un precizēt minētā punkta redakciju, izvairoties no regulējuma dublēšanās.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Gala saņēmējam šo noteikumu 24. punktā noteiktās pēcuzraudzības ietvaros ir pienākums nodrošināt Ekonomikas ministrijas un Aģentūras pārstāvjiem pieeju šo noteikumu 75. punktā minētajiem dokumentiem vai to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regulējums attiecināms uz noteikumu 73. punktu. Savukārt šī brīža 75. punkts regulē ALTUM īstenoto projektu vērtēšanu. Lūdzam precizēt attiecīgo punktu numerāciju un regulējuma tvērumu, lai nodrošinātu skaidru un nepārprotamu normu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Iesniedzot projekta pieteikumu sabiedrībā "Altum" atbalsta saņemšanai, gala saņēmējs iesniedz arī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punkta normu precizēt atbilstoši š.g. 6.janvāra sanāksmi ar EM, CFLA, ALTUM un Valsts kases dalību panāktajai vienošanās, kā arī, lai skaidrāk nolasītos normu kopums par APIA atlases kārtību, aicinām EM iekļaut tajā arī atsaucu uz MK noteikumu projekta 38.punktu.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otrās un turpmāko atklātās atlases kārtu pieteikšanās termiņu šo noteikumu 2.1. apakšpunktā atzinumu saņemšanai publicē Ekonomikas ministrijas, Aizsardzības ministrijas un sabiedrības “Altum” tīmekļa vietnēs. Sabiedrība “Altum” veic projektu iesniegumu vērtēšanu pēc tam, kad saņemts šo noteikumu 37. punktā minētais projektu prioritārais saraksts un </w:t>
            </w:r>
            <w:r w:rsidR="00000000" w:rsidRPr="00000000" w:rsidDel="00000000">
              <w:rPr>
                <w:u w:val="single"/>
                <w:rtl w:val="0"/>
              </w:rPr>
              <w:t xml:space="preserve">šo noteikumu 38.punktā minētais</w:t>
            </w:r>
            <w:r w:rsidR="00000000" w:rsidRPr="00000000" w:rsidDel="00000000">
              <w:rPr>
                <w:rtl w:val="0"/>
              </w:rPr>
              <w:t xml:space="preserve">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iesnieguma saņemšanas izsniedz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36.punktu pēc vārdiem "gala saņēmēja" ar vārdu "projekta", lai neradītu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Aizdevuma maksimālais apmērs nepārsniedz 70 000 000 euro. Piešķirtā maksimālā kapitāla atlaide ir līdz 50 procentiem no aizdevuma apmēra, bet ne vairāk kā 35 000 000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aicinām EM precizēt šī punkta redakciju atbilstoši sanāksmē panāktajai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aizdevuma maksimālais apmērs nepārsniedz 40 000 000 euro. Piešķirtā maksimālā kapitāla atlaide ir līdz 50 procentiem no sabiedrības “Altum” aizdevuma apmēra, bet ne vairāk kā 20 000 000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gala saņēmēja pēdējā noslēgtā pārskata gada ikmēneša pievienotās vērtības nodokļa deklarācijās iekļautā uz citu Eiropas Savienības dalībvalsti piegādāto preču Eiropas Savienības teritorijā vērtība, eksportēto preču vērtība un to darījumu vērtība, kuru veikšanas vieta nav iekšzeme;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vienojušies ar EM, ka dati par PVN deklarācijām netiks nodrošināti. Tāpēc lūdzam salāgot punktu numerāciju: EM tiks nodrošināti VID dati par darbinieku nodarbinātību un darba ienākumiem.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Garantija sedz līdz 80 procentiem no šo noteikumu 8. un 9. punktā minētā finansētāja izsniegtā aizdevuma apmēra. Sabiedrība “Altum” var sniegt garantiju līdz 25 000 000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EM skaidrojumu, ka </w:t>
            </w:r>
            <w:r w:rsidR="00000000" w:rsidRPr="00000000" w:rsidDel="00000000">
              <w:rPr>
                <w:i w:val="1"/>
                <w:rtl w:val="0"/>
              </w:rPr>
              <w:t xml:space="preserve"> garantija ir 80% pret aktuālajām saistībām un atmaksājot aizdevumu, dzēšot pamatsummu, samazinās aktuālās saistības, kas tiek garantētas, </w:t>
            </w:r>
            <w:r w:rsidR="00000000" w:rsidRPr="00000000" w:rsidDel="00000000">
              <w:rPr>
                <w:rtl w:val="0"/>
              </w:rPr>
              <w:t xml:space="preserve">aicinām EM izvērtēt nepieciešamību, šādu skaidrojumu iekļaut arī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Grantam gala saņēmējs piesakās iesniedzot projekta pieteikumu Aģentūrā, Aģentūra gala saņēmēja un projektu vērtē, pamatojoties uz šādiem dokumentiem, ko gala saņēmējs iesniedzis kopā ar projekta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projekta iesniegums ir jāiesniedz Kohēzijas politikas fondu vadības informācijas sistēmā (KPVIS), piedāvājam šādu redakciju: "Gala saņēmējs sagatavo projekta pieteikumu atbilstoši projektu iesniegumu atlases nolikumā noteiktajām prasībām un iesniedz to Aģentūrā, izmantojot Kohēzijas politikas fondu vadības informācijas sistēmu, tajā skaitā: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pieteikums, kurā ietverts biznesa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aicinām EM precizēt šī punkta redakciju atbilstoši sanāksmē panāktajai vienošanās. Lūdzam skaidrot, vai ar " biznesa projektu" MK noteikumu izpratnē ir saprotams biznesa plāns? Ja jā, tad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iesniegums, kurā ietverts biznesa </w:t>
            </w:r>
            <w:r w:rsidR="00000000" w:rsidRPr="00000000" w:rsidDel="00000000">
              <w:rPr>
                <w:u w:val="single"/>
                <w:rtl w:val="0"/>
              </w:rPr>
              <w:t xml:space="preserve"> plāns un apliecinājums, ka pēc projekta pilnīgas pabeigšanas pēcuzraudzības periodā izpildīs šo noteikumu 24. punktā minētos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pieteikums, kurā ietverts biznesa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dzēst "projekta pieteikums", jo projekta iesniegumu iesniedz KPVIS sistēmā, tā sadaļās aizpildot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dzēst prasību iesniegt apliecinājumu, ja informācija par gala labuma saņēmēju ir iegūstama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apliecinājums, ka gala saņēmējs projekta attiecināmajās izmaksās iekļauj izmaksas, kas radušas pēc šo noteikumu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papildināt MKN  projekta II sadaļu "Granta piešķiršanas nosacījumi" ar punktu, ka izmaksas ir attiecināmas pēc MKN spēkā stāšanās un līdz ar to dzēst šo  minēto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gala saņēmējs sešu mēnešu laikā pēc projekta pieteikuma iesniegšanas dienas sabiedrībā “Altum” vai Aģentūrā nav iesniedzis sabiedrībai "Altum" vai Aģentūrā visus šo noteikumu 75. punktā minētos dokumentus un informāciju, kas nepieciešama sabiedrības “Altum” lēmuma vai Aģentūras lēmuma pieņemšanai, sabiedrība "Altum" vai Aģentūra var pieņemt lēmumu par atteikumu finansēt gala saņēmēja projektu. Sabiedrība "Altum" vai Aģentūra ir tiesīga pagarināt šajā punktā noteikto termiņu informācijas iesniegšanai saistībā ar šo noteikumu 2.9. un 75.3. apakšpunktā minētā statusa noteikšanu, savstarpēji vienojoties ar gala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2021.—2027. gada plānošanas perioda vadības likuma (turpmāk-Likums) 28. pantā un 29.pantā noteikto regulējumu lūdzam svītrot noteikumu projekta 80.punkta regulējumu attiecībā uz grantiem, jo Centrālā finanšu un līguma aģentūra pati nosaka termiņu kādā ir jāiesniedz dokumentācija, lai nepārkāptu Likuma regulējumā noteikto, un tas nav atsevišķi  jāregulē Ministru kabineta noteikumos par specifisko atbalsta mērķi. Papildus, lūdzam minētā punkta redakcijā nelietot vārdus “var pieņemt lēmumu”, jo tas rada interpretācijas problēmas, tad tiek vai netiek pieņemts lēmums par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atbalstam piesakās Korporācija, tai atbalstu piešķir brīdī, kad Aģentūra pieņem lēmumu par granta piešķiršanu, Aģentūra lēmumā nosakot atbalsta maksimālo apjomu un atbalsta intensitāti. Atbalstu piešķir, ja gala saņēmējs atbilst šajos noteikumos minētajām atbalsta saņemšanas prasībām, kas nav kvalificējamas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komentārs. Lūdzam precizēt noteikumu projekta 83.punkta pēdējo teikumu, ņemot vērā to, ka noteikumu projekta 14.punktā jau tiek minēts, kādā gadījumā atbalsts gala saņēmējam (Korporācijai) netiek kvalificēts kā komercdarbības atbalsts un atkārtoti to šeit ietvertais skaidrojums nav precīzs, līdz ar to redakcionāli veiksmīgāk būtu minēt atsauci uz noteikumu projekta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vai Aģentūras lēmuma pieņemšanas dienas, ievērojot Regulas Nr. 2021/1060 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98.punktu izteikt piedāvātajā redakcijā, ņemot vērā, ka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ir attiecināms uz finanšu instrumentu īstenošanas kārtību, bet minētās regulas 63. panta 6. punkts ir attiecināms uz grantiem.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lēmuma pieņemšanas dienas, ievērojot Regulas Nr.2021/1060 58. panta 2. punktu vai pirms ir iesniegts projekta pieteikums par atbalsta programmas finansējuma saņemšanu, ievērojot regulas 2021/1060 63.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Kopsavilkums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kapitāla atlaidi vai piešķirtu grantu visiem projektiem ir jāsasniedz vienādi pēcuzraudzības rādītāji. Pēcuzraudzības periods ilgst 3 gadus, izņēmums ir militārās jomas produktu projekti, kas atbilst būtiskām valsts drošības interesēm, pēcuzraudzības rādītājus drīkst sasniegt tikai vienā no trīs gadiem. Katru gadu pēc pēcuzraudzības rādītāju sasniegšanas kapitāla atlaidi piemēro kā vienu trešo daļu no kopējā kapitāla atlaides apmēra. Grantu savukārt piešķir pilnā apmērā uzreiz pēc tā pēcuzraudzības gada, kad sasniegti pēcuzraudzības rādītāji, kas minēti Noteikumu projekta 24. punktā. Lēmumu par pēcuzraudzības rādītāju sasniegšanu pieņem EM un grantu piešķir Aģentūra,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terminu "pēcuzraudzības periods",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atzinuma 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granta saņemšanas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lūdzu precizēt minēto aspektu Noteikumu projektā un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"Kapitāla atlaides piemērošanas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tiek norādīts, ka Valsts ieņēmumu dienests pēc EM pieprasījuma (vēstules formā) sniedz informāciju (vēstules formā) EM, norādot, ka informācija ir ierobežotas pieejamības, jo tā satur ar komercdarbību saistītu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iebilst minētajam nosacījumam - "pieprasījums (vēstules formā)" - pēc informācijas apmaiņas veida (izpausmes), kā tas tiek plānots darīt.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birokrātijas pasākumu mazināšanas ietvaros tiek plānots pakalpojumus valsts iestādēm sniegt elektroniski, lūdzam izvērtēt starpresoru vienošanās noslēgšanas iespējas, lai iegūtu informāciju tiešsaistē, tādējādi neradot papildu administratīvo slogu Valsts ieņēmumu dienestam, informāciju apstrādājot manuāli.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Valsts ieņēmumu dienestam nav pamata noteikt pieprasītajai informācijai ierobežotas pieejamības statusu, ja to neveic pati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atkārtoti norāda, ka starpresoru vienošanās līgumā ir iespējams arī atrunāt pozīciju, ka tieši Ekonomikas ministrija nosaka informācijai ierobežotas pieejamības statusu noteiktiem datiem un tad to pieprasa Valsts ieņēmumu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sanāksmē ar EM, CFLA, ALTUM un Valsts kases dalību par precizēto MK noteikumu projektu panākto vienošanos, aicinām EM precizēt papildināt anotāciju ar skaidrojumu, ka autoruzraudzības un projektēšanas izmaksas ir attiecināmas kā nemateriāli aktīvi.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Anotācijā ir norādīta par sešos mēnešos iesniedzamo informāciju, taču vēršam uzmanību  Eiropas Savienības fondu 2021.—2027. gada plānošanas perioda vadības likuma (turpmāk-Likums) 28. pantam, kas nosaka lēmuma pieņemšanas termiņu (3 mēneši vai objektīvu iemeslu dēļ var pagarināt ne ilgāk par 6 mēnešiem), kā arī 29. pantam, kas paredz, ka atklātas atlases ietvaros  projekta iesniegums pēc iesniegšanas līdz lēmuma pieņemšanai par tā apstiprināšanu, apstiprināšanu ar nosacījumu vai noraidīšanu nav precizējams, savukārt ierobežotas projektu iesniegumu atlases ietvaros sadarbības iestāde saskaņā ar sadarbības iestādes noteiktu kārtību nodrošina konsultatīvo atbalstu projekta iesnieguma sagatavošanā, nemainot projekta iesnieguma būtību. </w:t>
            </w:r>
            <w:r w:rsidR="00000000" w:rsidRPr="00000000" w:rsidDel="00000000">
              <w:rPr>
                <w:i w:val="1"/>
                <w:rtl w:val="0"/>
              </w:rPr>
              <w:t xml:space="preserve">Līdz ar to aicinām precizēt  redakciju par ierobežotās projekta iesnieguma atlases termiņiem. (vienlaikus skatīt priekšlikumu pie MKN projekta  80.punkta)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intervences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nav nepieciešams papildināt, kā izraudzīts konkrētais 1.kārtas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nav atsauces uz regulējumu par publisko iepirkumu jomas regulējošos normatīvo aktu piemērošanu, lūdzam  izvērtēt un papildināt anotāciju ar atsauci uz Ministru kabineta  2023. gada 5. septembra noteikumu Nr. 510 "Eiropas Savienības kohēzijas politikas programmas 2021.–2027. gadam finanšu instrumentu kopīgie īstenošanas noteikumi " 26.1 punktu, kas nosaka, ka gala saņēmēji, kas saņem atbalstu šo noteikumu 2. punktā minētajos finanšu instrumentos, tai skaitā kombinētajos finanšu instrumentos, nepiemēro normatīvos aktus piegādātāju atlases jomā, izņemot gala saņēmējus, kas ir pasūtītāji Publisko iepirkumu likuma izpratnē vai sabiedrisko pakalpojumu sniedzēji Sabiedrisko pakalpojumu sniedzēju iepirkumu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pasākumiem, kas saistīti tikai ar valsts aizsardzības mērķi, komercdarbības atbalsta regulējuma nosacījumus nav jāpiemēro, proti, pasākumā sniedzot atbalstu militārās jomas produktu ražošanai būtiskām Latvijas valsts drošības interesēm, komercdarbības atbalsta regulējuma nosacījumus nav jāpiemēro, anotācijā ir skaidri jānosaka kārtība, kā tas var tikt identificēts. Proti, noteikumu 2.8.apakšpunkts nosaka definīciju: militārās jomas produkts – produkts, kas saistīts ar ieroču, munīcijas un militārā aprīkojuma ražošanu un atbilst Eiropas Savienības Kopējā militāro preču sarakstam, savukārt, 2.1.apakšpunkts nosaka, ka atzinums ir Aizsardzības ministrijas sagatavots dokuments, kas apliecina projekta pieteikumā minētā militārā produkta vai divējāda lietojuma produkta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Kopsavilkuma sadaļu, skaidri nosakot, ka tikai AM noteiks, vai produkts ir militārās jomas produkts, kas saistīts ar ieroču, munīcijas un militārā aprīkojuma ražošanu un atbilst Eiropas Savienības Kopējā militāro preču sarakstam, vai divējāda pielietojuma produkts, kā arī, ka tikai AM noteiks, vai militārās jomas vai divējāda pielietojuma produkts atbilst būtiskām Latvijas valsts drošības interesēm. Piemēram, anotācijā minēts, "Lai pieteiktos atbalstam, vispirms jāsaņem AM atzinums. AM atzinums ir dokuments, kas apliecina militāra produkta vai divējāda lietojuma produkta projekta atbilstību būtiskām valsts drošības interesēm un līdz ar to nav piešķirams komercdarbības atbalsts", jo tikai militāra produkta projektam būtiskām valsts drošības interesēm nav piešķirams komercdarbības atbalsts. Vienlaikus anotācijā minēts, ka "Atzinumā AM nosaka produkta: Atbilstību būtiskām valsts drošības interesēm un Atbilstību militārai vai divējāda lietojuma jomai. Lai saņemtu atzinumu, nepieciešams iesniegt pieteikumu, kurā tiek norādīta informācija par projektu, tai skaitā norādot, vai tiks īstenots militāra vai divējāda lietojuma produkts.[..] Ja paredzēts īstenot divējāda lietojuma produkta projektu, AM sniedz atzinumu, vērtējot militāro komponenti, ka produkts atbilst būtiskām valsts drošības interesēm un gala saņēmējs biznesa plānā skaidro, kā produktu var izmantot civilām vajadzībām." Respektīvi, no anotācijas 1.3.sadaļas Kopsavilkumā ietvertās informācijas ir secināms, ka pats pieteikuma iesniedzējs nosaka, vai viņa produkts būs divējāda pielietojuma, vai nē, kas ir pretrunā noteikumos noteiktajam. Papildus vēršam uzmanību, ka tikai gadījumā, ja atbalsts tiek sniegts militārās jomas produktu, kas saistīts ar ieroču, munīcijas un militārā aprīkojuma ražošanu un atbilst Eiropas Savienības Kopējā militāro preču sarakstam, un atbilst būtiskām Latvijas valsts drošības interesēm, ražošanai, tas nav kvalificējams kā komercdarbības atbalsts, visos pārējos gadījumos tas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kāda pasākuma ietekmi uz horizontālajiem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Tropa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ar EM sanāksmē EM pieteikto, ka pasākumam atbilstoši plānotajiem Programmas 2021-2027 grozījumiem ir plānots pārdalīt papildus finansējumu no citām finanšu instrumentu programmām, aicinām EM šo anotācijas sadaļu papildināt ar atsauci uz attiecīgajiem finanšu instrumentu MK noteikumiem, no kuriem plānota finansējuma pārdale. Kā arī nepieciešams norādīt uz saistītajiem grozījumiem Ministru kabineta  2023. gada 5.septembra noteikumos Nr. 510 "Eiropas Savienības kohēzijas politikas programmas 2021.–2027. gadam finanšu instrumentu kopīgie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piedāvājam nomainīt tekstu  "personu apliecinošus datus"  uz  "datus par darbinieku deklarētājiem ienākumiem  un nodarbinātības periodiem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09.01.2026.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09.01.2026.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Atzinumi_25-TA-1652.docx</dc:title>
</cp:coreProperties>
</file>

<file path=docProps/custom.xml><?xml version="1.0" encoding="utf-8"?>
<Properties xmlns="http://schemas.openxmlformats.org/officeDocument/2006/custom-properties" xmlns:vt="http://schemas.openxmlformats.org/officeDocument/2006/docPropsVTypes"/>
</file>