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6. jūlija noteikumos Nr. 503 "Noteikumi par aizdevumiem ar kapitāla atlaidi eksportējošiem komersantiem lielo investīciju projektu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Sabiedrības "Altum" lēmuma pieņemšanas datums par aizdevuma piešķiršanu, kurā noteikts atbalsta maksimālais apjoms, atbalsta intensitāte, maksimālā pieejamā kapitāla atlaide, kā arī aizdevuma maksimālais termiņš, ieskaitot pagarinājumu, kas nepārsniedz šo noteikumu </w:t>
            </w:r>
            <w:r w:rsidR="00000000" w:rsidRPr="00000000" w:rsidDel="00000000">
              <w:rPr>
                <w:rtl w:val="0"/>
              </w:rPr>
              <w:t xml:space="preserve">18.</w:t>
            </w:r>
            <w:r w:rsidR="00000000" w:rsidRPr="00000000" w:rsidDel="00000000">
              <w:rPr>
                <w:rtl w:val="0"/>
              </w:rPr>
              <w:t xml:space="preserve"> punktā vai 27.</w:t>
            </w:r>
            <w:r w:rsidR="00000000" w:rsidRPr="00000000" w:rsidDel="00000000">
              <w:rPr>
                <w:vertAlign w:val="superscript"/>
                <w:rtl w:val="0"/>
              </w:rPr>
              <w:t xml:space="preserve">14 </w:t>
            </w:r>
            <w:r w:rsidR="00000000" w:rsidRPr="00000000" w:rsidDel="00000000">
              <w:rPr>
                <w:rtl w:val="0"/>
              </w:rPr>
              <w:t xml:space="preserve">punktā minēto, uzskatāms par atbalsta piešķiršanas datumu, pirms kura ir izvērtēta komersanta un tā īstenotā investīciju projekta atbilstība šo noteikumu </w:t>
            </w:r>
            <w:r w:rsidR="00000000" w:rsidRPr="00000000" w:rsidDel="00000000">
              <w:rPr>
                <w:rtl w:val="0"/>
              </w:rPr>
              <w:t xml:space="preserve">5.1.</w:t>
            </w:r>
            <w:r w:rsidR="00000000" w:rsidRPr="00000000" w:rsidDel="00000000">
              <w:rPr>
                <w:rtl w:val="0"/>
              </w:rPr>
              <w:t xml:space="preserve"> vau 5.1.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5.2.</w:t>
            </w:r>
            <w:r w:rsidR="00000000" w:rsidRPr="00000000" w:rsidDel="00000000">
              <w:rPr>
                <w:rtl w:val="0"/>
              </w:rPr>
              <w:t xml:space="preserve">, </w:t>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5.4.</w:t>
            </w:r>
            <w:r w:rsidR="00000000" w:rsidRPr="00000000" w:rsidDel="00000000">
              <w:rPr>
                <w:rtl w:val="0"/>
              </w:rPr>
              <w:t xml:space="preserve">, </w:t>
            </w:r>
            <w:r w:rsidR="00000000" w:rsidRPr="00000000" w:rsidDel="00000000">
              <w:rPr>
                <w:rtl w:val="0"/>
              </w:rPr>
              <w:t xml:space="preserve">5.5.</w:t>
            </w:r>
            <w:r w:rsidR="00000000" w:rsidRPr="00000000" w:rsidDel="00000000">
              <w:rPr>
                <w:rtl w:val="0"/>
              </w:rPr>
              <w:t xml:space="preserve">, </w:t>
            </w:r>
            <w:r w:rsidR="00000000" w:rsidRPr="00000000" w:rsidDel="00000000">
              <w:rPr>
                <w:rtl w:val="0"/>
              </w:rPr>
              <w:t xml:space="preserve">5.6.</w:t>
            </w:r>
            <w:r w:rsidR="00000000" w:rsidRPr="00000000" w:rsidDel="00000000">
              <w:rPr>
                <w:rtl w:val="0"/>
              </w:rPr>
              <w:t xml:space="preserve"> vai 5.6.</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5.7.</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apakšpunkta</w:t>
            </w:r>
            <w:r w:rsidR="00000000" w:rsidRPr="00000000" w:rsidDel="00000000">
              <w:rPr>
                <w:rtl w:val="0"/>
              </w:rPr>
              <w:t xml:space="preserve"> un, ja attiecināms, II.</w:t>
            </w:r>
            <w:r w:rsidR="00000000" w:rsidRPr="00000000" w:rsidDel="00000000">
              <w:rPr>
                <w:vertAlign w:val="superscript"/>
                <w:rtl w:val="0"/>
              </w:rPr>
              <w:t xml:space="preserve">1</w:t>
            </w:r>
            <w:r w:rsidR="00000000" w:rsidRPr="00000000" w:rsidDel="00000000">
              <w:rPr>
                <w:rtl w:val="0"/>
              </w:rPr>
              <w:t xml:space="preserve"> nodaļas nosacījumiem. Sabiedrības "Altum" lēmums par aizdevuma piešķiršanu ar kapitāla atlaidi, t.sk., kapitāla atlaides piešķiršanu un kapitāla atlaides piemērošanu ir uzskatāms par lēmumu, kas ir pieņemts privāttiesību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Ekonomikas ministrijas precizētais Ministru kabineta noteikumu projekts “Grozījumi Ministru kabineta 2021. gada 6. jūlija noteikumos Nr.503 “Noteikumi par aizdevumiem ar kapitāla atlaidi eksportējošiem komersantiem lielo investīciju projektu atbalstam”” (turpmāk – projekts) un par to atkārtoti izsakām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iebildumu par projekta 14. punktā iekļauto grozījumu Ministru kabineta 2021. gada 6. jūlija noteikumu Nr.503 “Noteikumi par aizdevumiem ar kapitāla atlaidi eksportējošiem komersantiem lielo investīciju projektu atbalstam” (turpmāk – noteikumi) 9. punktā un projekta 15. punktā iekļauto grozījumu noteikumu 9.</w:t>
            </w:r>
            <w:r w:rsidR="00000000" w:rsidRPr="00000000" w:rsidDel="00000000">
              <w:rPr>
                <w:vertAlign w:val="superscript"/>
                <w:rtl w:val="0"/>
              </w:rPr>
              <w:t xml:space="preserve">1</w:t>
            </w:r>
            <w:r w:rsidR="00000000" w:rsidRPr="00000000" w:rsidDel="00000000">
              <w:rPr>
                <w:rtl w:val="0"/>
              </w:rPr>
              <w:t xml:space="preserve"> punktā, kas paredz, ka “Sabiedrības "Altum" lēmumi ir uzskatāmi par lēmumu, kas ir pieņemts privāttiesību jomā” un piedāvājam šādus grozījumus neveikt. Vēršam uzmanību, ka Ministru kabineta noteikumos nav pieļaujams iekļaut tiesisko regulējumu par valsts pārvaldes uzdevumu veicošas institūcijas lēmumu tiesisko dabu, kas neatbilst tiesību principiem un arī likumos, piemēram, Administratīvā procesa likumā, noteiktajam regulējumam. Minētais attiecībā uz “Altum” lēmumiem nepārprotami ir analizēts Latvijas Republikas Senāta Administratīvo lietu departamenta 2024. gada 15. novembra lēmumā lietā Nr.SKA-839/2024. Ievērojot minēto, Tieslietu ministrija nevar atbalstīt praksi, kad tiesas nolēmumu izpildes vietā iestādes cenšas grozīt ārējos normatīvos aktus, veidojot pretrunu ar esošajiem tiesību principiem. Papildus vēlamies norādīt, ka projekta izziņas 9. punktā iekļautā atzīme “Ņemts vērā” nav korekta.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w:t>
            </w:r>
            <w:r w:rsidR="00000000" w:rsidRPr="00000000" w:rsidDel="00000000">
              <w:rPr>
                <w:vertAlign w:val="superscript"/>
                <w:rtl w:val="0"/>
              </w:rPr>
              <w:t xml:space="preserve">1</w:t>
            </w:r>
            <w:r w:rsidR="00000000" w:rsidRPr="00000000" w:rsidDel="00000000">
              <w:rPr>
                <w:rtl w:val="0"/>
              </w:rPr>
              <w:t xml:space="preserve"> Aizsardzības ministrijas atzinumu par komersanta investīciju projekta atbilstību drošības un aizsardzības jomai, veicot norādi par investīciju projekta atbilstību militārajai vai divējāda pielietojuma produktu un tehnoloģiju specifikai;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piem., aizstājot vārdu "norādi" ar vārdu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Šo noteikumu II.</w:t>
            </w:r>
            <w:r w:rsidR="00000000" w:rsidRPr="00000000" w:rsidDel="00000000">
              <w:rPr>
                <w:vertAlign w:val="superscript"/>
                <w:rtl w:val="0"/>
              </w:rPr>
              <w:t xml:space="preserve">1</w:t>
            </w:r>
            <w:r w:rsidR="00000000" w:rsidRPr="00000000" w:rsidDel="00000000">
              <w:rPr>
                <w:rtl w:val="0"/>
              </w:rPr>
              <w:t xml:space="preserve"> nodaļa, 5.1.</w:t>
            </w:r>
            <w:r w:rsidR="00000000" w:rsidRPr="00000000" w:rsidDel="00000000">
              <w:rPr>
                <w:vertAlign w:val="superscript"/>
                <w:rtl w:val="0"/>
              </w:rPr>
              <w:t xml:space="preserve">1</w:t>
            </w:r>
            <w:r w:rsidR="00000000" w:rsidRPr="00000000" w:rsidDel="00000000">
              <w:rPr>
                <w:rtl w:val="0"/>
              </w:rPr>
              <w:t xml:space="preserve">, 5.3., 5.6.</w:t>
            </w:r>
            <w:r w:rsidR="00000000" w:rsidRPr="00000000" w:rsidDel="00000000">
              <w:rPr>
                <w:vertAlign w:val="superscript"/>
                <w:rtl w:val="0"/>
              </w:rPr>
              <w:t xml:space="preserve">1</w:t>
            </w:r>
            <w:r w:rsidR="00000000" w:rsidRPr="00000000" w:rsidDel="00000000">
              <w:rPr>
                <w:rtl w:val="0"/>
              </w:rPr>
              <w:t xml:space="preserve">, 5.7.</w:t>
            </w:r>
            <w:r w:rsidR="00000000" w:rsidRPr="00000000" w:rsidDel="00000000">
              <w:rPr>
                <w:vertAlign w:val="superscript"/>
                <w:rtl w:val="0"/>
              </w:rPr>
              <w:t xml:space="preserve">1</w:t>
            </w:r>
            <w:r w:rsidR="00000000" w:rsidRPr="00000000" w:rsidDel="00000000">
              <w:rPr>
                <w:rtl w:val="0"/>
              </w:rPr>
              <w:t xml:space="preserve">, 29.2.</w:t>
            </w:r>
            <w:r w:rsidR="00000000" w:rsidRPr="00000000" w:rsidDel="00000000">
              <w:rPr>
                <w:vertAlign w:val="superscript"/>
                <w:rtl w:val="0"/>
              </w:rPr>
              <w:t xml:space="preserve">2</w:t>
            </w:r>
            <w:r w:rsidR="00000000" w:rsidRPr="00000000" w:rsidDel="00000000">
              <w:rPr>
                <w:rtl w:val="0"/>
              </w:rPr>
              <w:t xml:space="preserve">, 31.5.</w:t>
            </w:r>
            <w:r w:rsidR="00000000" w:rsidRPr="00000000" w:rsidDel="00000000">
              <w:rPr>
                <w:vertAlign w:val="superscript"/>
                <w:rtl w:val="0"/>
              </w:rPr>
              <w:t xml:space="preserve">1</w:t>
            </w:r>
            <w:r w:rsidR="00000000" w:rsidRPr="00000000" w:rsidDel="00000000">
              <w:rPr>
                <w:rtl w:val="0"/>
              </w:rPr>
              <w:t xml:space="preserve">, 31.8., 31.9., 37.5.  apakšpunkts, kā arī grozījumi šo noteikumu 5.</w:t>
            </w:r>
            <w:r w:rsidR="00000000" w:rsidRPr="00000000" w:rsidDel="00000000">
              <w:rPr>
                <w:vertAlign w:val="superscript"/>
                <w:rtl w:val="0"/>
              </w:rPr>
              <w:t xml:space="preserve">1</w:t>
            </w:r>
            <w:r w:rsidR="00000000" w:rsidRPr="00000000" w:rsidDel="00000000">
              <w:rPr>
                <w:rtl w:val="0"/>
              </w:rPr>
              <w:t xml:space="preserve"> un 35. punktā, kas paredz noteikumus atbalstam primārās lauksaimnieciskās ražošanas komersantiem, stājas spēkā nākamajā dienā pēc tam, kad oficiālajā izdevumā "Latvijas Vēstnesis" publicēts paziņojums par to, ka Eiropas Komisija pieņēmusi lēmumu par šajos noteikumos ietvertā atbalsta saderību ar Eiropas Savienības iekšējo tirgu. Ekonomikas ministrija pēc tam, kad Eiropas Komisija pieņēmusi lēmumu par komercdarbības atbalsta saderību ar Eiropas Savienības iekšējo tirgu, nosūta attiecīgu paziņojumu publicēšanai oficiālajā izdevumā "Latvijas Vēstnesis”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nenoteikt, ka jau faktiski spēkā stājušās Ministru kabineta noteikumu normas (piem., 5.3. apakšpunkts) stājas spēkā nākamajā dienā pēc tam, kad oficiālajā izdevumā "Latvijas Vēstnesis" publicēts noteikts paziņojums. Lai gan izziņā norādīts, ka noteikumu projekts precizēts atbilstoši piedāvātai redakcijai, faktiski noteikumu projekts precizēts vien daļēji.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10.05.2025. 12.16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10.05.2025. 12.16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Atzinumi_25-TA-31.docx</dc:title>
</cp:coreProperties>
</file>

<file path=docProps/custom.xml><?xml version="1.0" encoding="utf-8"?>
<Properties xmlns="http://schemas.openxmlformats.org/officeDocument/2006/custom-properties" xmlns:vt="http://schemas.openxmlformats.org/officeDocument/2006/docPropsVTypes"/>
</file>