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dzīvnieku patversmēm un dzīvnieku viesnīcām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un veterinārais dienests (turpmāk – dienests) apstrādā fiziskas personas datus – vārdu, uzvārdu, personas kodu, deklarētās, reģistrētās vai norādītās dzīvesvietas adresi, tālruņa numuru, oficiālo elektronisko adresi un elektroniskā pasta adresi, lai reģistrētu vai apstiprinātu  patversmi vai viesnīcu, kā arī izdarītu izmaiņas dienesta uzraudzības objektu reģistrā un sazinātos ar patversmi vai viesnīcu. Personas datus uzglabā piecus gadus pēc patversmes vai viesnīcas svītrošanas no dienesta uzraudzības objektu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"Noteikumi par dzīvnieku patversmēm un dzīvnieku viesnīcām" (turpmāk – projekts) 3. punktā ietverto normu, nepārprotami norādot, kādas fiziskas personas (patversmes īpašnieka, dzīvnieku turētāja, nekustamā īpašuma, kur reģistrēta patversme, īpašnieka) dati tiek uzkrāti Pārtikas un veterinārajā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pieņemts lēmums par patversmes vai viesnīcas darbības apturēšanu un dienesta noteiktajā termiņā nav novērstas konstatētās neatbilstības vai ja darbība ir apturēta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Dzīvnieku aizsardzības likuma 39.</w:t>
            </w:r>
            <w:r w:rsidR="00000000" w:rsidRPr="00000000" w:rsidDel="00000000">
              <w:rPr>
                <w:vertAlign w:val="superscript"/>
                <w:rtl w:val="0"/>
              </w:rPr>
              <w:t xml:space="preserve">1</w:t>
            </w:r>
            <w:r w:rsidR="00000000" w:rsidRPr="00000000" w:rsidDel="00000000">
              <w:rPr>
                <w:rtl w:val="0"/>
              </w:rPr>
              <w:t xml:space="preserve"> panta trešās daļas 1. un 2. punkts paredz, ka Ministru kabinets nosaka </w:t>
            </w:r>
            <w:r w:rsidR="00000000" w:rsidRPr="00000000" w:rsidDel="00000000">
              <w:rPr>
                <w:u w:val="single"/>
                <w:rtl w:val="0"/>
              </w:rPr>
              <w:t xml:space="preserve">dzīvnieku patversmes un dzīvnieku viesnīcas darbības apturēšanas kārtību</w:t>
            </w:r>
            <w:r w:rsidR="00000000" w:rsidRPr="00000000" w:rsidDel="00000000">
              <w:rPr>
                <w:rtl w:val="0"/>
              </w:rPr>
              <w:t xml:space="preserve">, lūdzam papildināt projekta 2. nodaļu ar attiecīgu regulējumu, jo no projekta 11.2. apakšpunktā minētā neizriet iepriekš minētā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Savvaļas sugu dzīvniekus tur saskaņā ar Valsts meža dienesta vai Dabas aizsardzības pārvaldes 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Valsts pārvaldes iekārtas likuma 73. panta pirmajā daļā noteiktajam </w:t>
            </w:r>
            <w:r w:rsidR="00000000" w:rsidRPr="00000000" w:rsidDel="00000000">
              <w:rPr>
                <w:u w:val="single"/>
                <w:rtl w:val="0"/>
              </w:rPr>
              <w:t xml:space="preserve">publiskas personas orgāns un amatpersona savas kompetences ietvaros var izdot iekšējos normatīvos aktus</w:t>
            </w:r>
            <w:r w:rsidR="00000000" w:rsidRPr="00000000" w:rsidDel="00000000">
              <w:rPr>
                <w:rtl w:val="0"/>
              </w:rPr>
              <w:t xml:space="preserve">, proti, nolikumu, reglamentu, instrukciju, </w:t>
            </w:r>
            <w:r w:rsidR="00000000" w:rsidRPr="00000000" w:rsidDel="00000000">
              <w:rPr>
                <w:u w:val="single"/>
                <w:rtl w:val="0"/>
              </w:rPr>
              <w:t xml:space="preserve">ieteikumus</w:t>
            </w:r>
            <w:r w:rsidR="00000000" w:rsidRPr="00000000" w:rsidDel="00000000">
              <w:rPr>
                <w:rtl w:val="0"/>
              </w:rPr>
              <w:t xml:space="preserve"> un iekšējos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pārvaldes iekārtas likuma 72. panta ceturtā daļa noteic, ka </w:t>
            </w:r>
            <w:r w:rsidR="00000000" w:rsidRPr="00000000" w:rsidDel="00000000">
              <w:rPr>
                <w:u w:val="single"/>
                <w:rtl w:val="0"/>
              </w:rPr>
              <w:t xml:space="preserve">iekšējais normatīvais akts ir saistošs iestādei (tās struktūrvienībai, darbiniekiem) vai amatpersonām, attiecībā uz kurām tas izdots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meža dienesta vai Dabas aizsardzības pārvaldes izdoti ieteikumi ir saistoši tikai Valsts meža dienestam vai Dabas aizsardzības pārvaldei, nevis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30.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labturības prasības attiecībā uz dzīvnieku turēšanu, tostarp barošanu, dzirdināšanu un fizisko aktivitāti;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apakšpunktu atbilstoši Dzīvnieku aizsardzības likuma 39.</w:t>
            </w:r>
            <w:r w:rsidR="00000000" w:rsidRPr="00000000" w:rsidDel="00000000">
              <w:rPr>
                <w:vertAlign w:val="superscript"/>
                <w:rtl w:val="0"/>
              </w:rPr>
              <w:t xml:space="preserve">1</w:t>
            </w:r>
            <w:r w:rsidR="00000000" w:rsidRPr="00000000" w:rsidDel="00000000">
              <w:rPr>
                <w:rtl w:val="0"/>
              </w:rPr>
              <w:t xml:space="preserve"> panta trešās daļas 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apakšnodaļā ietverto informāciju par to, ko paredz Dzīvnieku aizsardzības likuma 39.</w:t>
            </w:r>
            <w:r w:rsidR="00000000" w:rsidRPr="00000000" w:rsidDel="00000000">
              <w:rPr>
                <w:vertAlign w:val="superscript"/>
                <w:rtl w:val="0"/>
              </w:rPr>
              <w:t xml:space="preserve">1</w:t>
            </w:r>
            <w:r w:rsidR="00000000" w:rsidRPr="00000000" w:rsidDel="00000000">
              <w:rPr>
                <w:rtl w:val="0"/>
              </w:rPr>
              <w:t xml:space="preserve"> panta trešās daļas 4. un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4.1. apakšsadaļā norāda informāciju par </w:t>
            </w:r>
            <w:r w:rsidR="00000000" w:rsidRPr="00000000" w:rsidDel="00000000">
              <w:rPr>
                <w:u w:val="single"/>
                <w:rtl w:val="0"/>
              </w:rPr>
              <w:t xml:space="preserve">saistītajiem tiesību aktu projektiem</w:t>
            </w:r>
            <w:r w:rsidR="00000000" w:rsidRPr="00000000" w:rsidDel="00000000">
              <w:rPr>
                <w:rtl w:val="0"/>
              </w:rPr>
              <w:t xml:space="preserve"> un Ministru kabineta 2006. gada 16. maija noteikumi Nr. 407 "Noteikumi par dzīvnieku labturības prasībām dzīvnieku patversmēs un dzīvnieku viesnīcās, kārtību kādā dzīvnieku nodod dzīvnieku patversmē vai dzīvnieku viesnīcā, kā arī dzīvnieku patversmju un dzīvnieku viesnīcu reģistrācijas kārtību" tiek atzīti par spēku zaudējušiem ar projekta 60. punktu, nav nepieciešams izstrādāt atsevišķu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svītrot anotācijas 4.1. apakšsadaļā ietverto informāciju un attiecīgu informāciju norādīt anotācijas 1.3. vai 4.2.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23.04.2024.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23.04.2024.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Atzinumi_23-TA-1455.docx</dc:title>
</cp:coreProperties>
</file>

<file path=docProps/custom.xml><?xml version="1.0" encoding="utf-8"?>
<Properties xmlns="http://schemas.openxmlformats.org/officeDocument/2006/custom-properties" xmlns:vt="http://schemas.openxmlformats.org/officeDocument/2006/docPropsVTypes"/>
</file>