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Apcietinājumā turēšanas kārtības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2.</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vertAlign w:val="superscript"/>
                <w:rtl w:val="0"/>
              </w:rPr>
              <w:t xml:space="preserve">2</w:t>
            </w:r>
            <w:r w:rsidR="00000000" w:rsidRPr="00000000" w:rsidDel="00000000">
              <w:rPr>
                <w:rtl w:val="0"/>
              </w:rPr>
              <w:t xml:space="preserve"> un 2.</w:t>
            </w:r>
            <w:r w:rsidR="00000000" w:rsidRPr="00000000" w:rsidDel="00000000">
              <w:rPr>
                <w:vertAlign w:val="superscript"/>
                <w:rtl w:val="0"/>
              </w:rPr>
              <w:t xml:space="preserve">3</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Saņemot izmeklēšanas cietuma priekšnieka atļauju, apcietinātais var glabāt un dienas kārtībā noteiktajā laikā lietot šādu personisko sadzīves tehniku: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televizoru bez papildu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televizoram pievienojamu videospēļu iekārtu, kura nerada neatļautas saziņas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radiouztvērēju bez papildu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ledusskapi;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elektrisko tējkannu;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elektrisko pagarinātāju;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mazās austiņas ar vadu bez papildu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elektrisko bārdas skujamo aparātu;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elektrisko matu griežamo mašīnu;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elektrisko galda ventilatoru bez papildu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sievietes: matu ieveidošanas ierīces.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Šī panta 2.</w:t>
            </w:r>
            <w:r w:rsidR="00000000" w:rsidRPr="00000000" w:rsidDel="00000000">
              <w:rPr>
                <w:vertAlign w:val="superscript"/>
                <w:rtl w:val="0"/>
              </w:rPr>
              <w:t xml:space="preserve">1</w:t>
            </w:r>
            <w:r w:rsidR="00000000" w:rsidRPr="00000000" w:rsidDel="00000000">
              <w:rPr>
                <w:rtl w:val="0"/>
              </w:rPr>
              <w:t xml:space="preserve"> daļā minētās sadzīves tehnikas daudzumu, tehniskos parametrus (piemēram, izmēru, kontaktligzdu skaitu), funkcionalitāti, izmantošanas sezonalitāti, laiku un kārtību nosaka Ieslodzījuma vietu pārvaldes priekšnieks ar rīkojumu. Kopējais individuālajā lietošanā izmantojamās sadzīves tehnikas svars nedrīkst pārsniegt 30 kilogramus;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3</w:t>
            </w:r>
            <w:r w:rsidR="00000000" w:rsidRPr="00000000" w:rsidDel="00000000">
              <w:rPr>
                <w:rtl w:val="0"/>
              </w:rPr>
              <w:t xml:space="preserve">) Par izmeklēšanas cietuma priekšnieka lēmumu attiecībā uz personisko sadzīves tehniku var iesniegt sūdzību Ieslodzījuma vietu pārvaldes priekšniekam. Ieslodzījuma vietu pārvaldes priekšnieka lēmums nav pārsūdzams.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sniegto informāciju nav izprotams, kāpēc tikai sievietes var glabāt un lietot likuma 13. panta 2.</w:t>
            </w:r>
            <w:r w:rsidR="00000000" w:rsidRPr="00000000" w:rsidDel="00000000">
              <w:rPr>
                <w:vertAlign w:val="superscript"/>
                <w:rtl w:val="0"/>
              </w:rPr>
              <w:t xml:space="preserve">1</w:t>
            </w:r>
            <w:r w:rsidR="00000000" w:rsidRPr="00000000" w:rsidDel="00000000">
              <w:rPr>
                <w:rtl w:val="0"/>
              </w:rPr>
              <w:t xml:space="preserve"> daļas 11.punktā norādīto matu ieveidošanas ierīci, ņemot vērā to, ka matu ieveidošanas ierīces var būt arī vīriešiem. Ievērojot minēto, aicinām precizēt 13. panta 2.</w:t>
            </w:r>
            <w:r w:rsidR="00000000" w:rsidRPr="00000000" w:rsidDel="00000000">
              <w:rPr>
                <w:vertAlign w:val="superscript"/>
                <w:rtl w:val="0"/>
              </w:rPr>
              <w:t xml:space="preserve">1</w:t>
            </w:r>
            <w:r w:rsidR="00000000" w:rsidRPr="00000000" w:rsidDel="00000000">
              <w:rPr>
                <w:rtl w:val="0"/>
              </w:rPr>
              <w:t xml:space="preserve"> daļas 11.punkta redakciju vai arī papildināt anotāciju ar attiecīgu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Lauris Neikens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“Risinājuma apraksts” par grozījumiem Apcietinājumā turēšanas kārtības likuma 7. pantā norādīts, ka likumprojekts paredz likuma 7. pantu papildināt ar jaunu otro daļu, nosakot, ka izmeklēšanas cietuma administrācija nosūta paziņojumu par nepilngadīgā apcietinātā atrašanos izmeklēšanas cietumā nepilngadīgā likumiskajam pārstāvim, kā arī bāriņtiesai un pašvaldības sociālajam dienestam atbilstoši nepilngadīgā dzīvesvietai. Papildus anotācijas sadaļā “Risinājuma apraksts” norādīts, ka: “[..] Minēto paziņojumu izmeklēšanas cietums nosūtīs, ja tā rīcībā būs šāda informācija, jo praksē bieži vien ziņas par vecākiem un dzīvesvietu izmeklēšanas cietums iegūst no paša nepilngadīgā vai atbilstoši Nepilngadīgo personu atbalsta informācijas sistēmā norādītajai informācijai, ja tur ir ievadīta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anotācijas teksta var secināt, ka gadījumā, ja cietuma rīcībā nebūs informācija par nepilngadīgā apcietinātā likumiskajiem pārstāvjiem un dzīvesvietu, tad izmeklēšanas cietuma administrācija nenosūtīs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likumprojekts neparedz šādu izvēles iespēju izmeklēšanas cietuma administrācijai. Cietuma administrācijai jābūt iespējai iegūt ticamas ziņas par nepilngadīgā apcietinātā likumiskajiem pārstāvjiem un dzīvesvietu, lai varētu nosūtīt paziņojumu nepilngadīgā likumiskajiem pārstāvjiem, kā arī bāriņtiesai un pašvaldības sociālajam dienestam atbilstoši nepilngadīgā dzīvesvietai.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likumprojekta anotāciju par grozījumiem Apcietinājumā turēšanas kārtības likuma 7. pantā, saskaņojot to ar grozījumu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Lauris Neikens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20.03.2025. 18.56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20.03.2025. 18.56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Atzinumi_24-TA-1960.docx</dc:title>
</cp:coreProperties>
</file>

<file path=docProps/custom.xml><?xml version="1.0" encoding="utf-8"?>
<Properties xmlns="http://schemas.openxmlformats.org/officeDocument/2006/custom-properties" xmlns:vt="http://schemas.openxmlformats.org/officeDocument/2006/docPropsVTypes"/>
</file>