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 sadaļā korekti atsaukties uz projekta vienībām, jo šobrīd faktiski tiek norādīts uz grozīto Ministru kabineta 2019. gada 12. februāra noteikumu Nr. 72 "Noteikumi par akcīzes nodokļa nodrošinājumiem" (turpmāk - noteikumi Nr. 72) vienībām, proti, norādīts uz projekta 7. punktu, ar kuru direktīvas prasības netiek pārņemtas (informatīvā nolūkā atsauces uz noteikumu Nr. 72 vienībām var iekļaut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 punktā ietverto iebildumu atkārtoti lūdzam projekta anotācijas 5.4. sadaļas 1. tabulu papildināt ar skaidrojumu par visu Padomes 2019. gada 19. decembra Direktīvas (ES) 2020/262, ar ko nosaka akcīzes nodokļa piemērošanas vispārēju režīmu (pārstrādāta redakcija) 17. panta punktu (apakšpunktu) prasību pārņemšanu projektā (noteikumos Nr. 72 ) vai citos nacionālajos tiesību aktos. Tostarp, bet ne tikai, lūdzam šajā sadaļā ailītē "Cita informācija" skaidrot, kādēļ tiek vai netiek izmantota minētās direktīvas 17. panta 2. punktā un 5. punkta "b" apakšpunktā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