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un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likumprojekts aizstās šobrīd spēkā esošo Preču un pakalpojumu drošuma likumu, ir vērtējams vai ar likumprojektā veiktajām izmaiņām tiek ietekmēts administratīvais slogs, proti, vai izmainās informācijas sniegšanas pienākuma apjoms un atbilstību izmaksu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drošuma likuma, kas stājās spēkā 2004. gada 1. maijā, anotācijā ir sniegta informācija, ka minētais likums neparedz administratīvo procedūru izmaiņas, salīdzinot ar Preču un pakalpojumu drošuma likumu, kas bija spēkā ar 2000. gada 19.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kā arī to, ka nav pieejams administratīvo izmaksu un atbilstības izmaksu monetārs novērtējums par Preču un pakalpojumu drošuma likumu (19.07.2000. un 01.05.2004.), lūdzu veikt likumprojektā iekļauto informācijas sniegšanas pienākumu un atbilstības prasību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vērtējams ir likumprojekta 5. pants par pienākumu izstrādāt pakalpojuma sniegšanas drošuma aprakstu, tā glabāšanu un informācijas sniegšanu tirgus uzraudzības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saiti uz likumprojekta publisko apspriešanu TAP publiskajā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6.3.apakšpunktu, norādot, kādi bija publiskās apspriešanas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25.09.2024.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25.09.2024.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