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gala labuma guvēju darbības efektivizēšanai nepieciešamo digitālās attīstības plānu izstrādes un izvērtējumu sagatavošanas un konsultāciju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grozījumu noteikumu 15.1. apakšpunktā, nav nepieciešami arī kādi citi precizējumi noteikumos (sk., piemēram, atbalstāmo darbību regulējumu noteikumu 14. punktā). Norādām, ka anotācijā minēts: "</w:t>
            </w:r>
            <w:r w:rsidR="00000000" w:rsidRPr="00000000" w:rsidDel="00000000">
              <w:rPr>
                <w:i w:val="1"/>
                <w:rtl w:val="0"/>
              </w:rPr>
              <w:t xml:space="preserve">[..] nepieciešams noteikt, ka finansējuma saņēmēja pienākums ir izstrādāt gala labuma guvēju digitālās attīstības plānu, kā arī </w:t>
            </w:r>
            <w:r w:rsidR="00000000" w:rsidRPr="00000000" w:rsidDel="00000000">
              <w:rPr>
                <w:i w:val="1"/>
                <w:u w:val="single"/>
                <w:rtl w:val="0"/>
              </w:rPr>
              <w:t xml:space="preserve">noteikt, ka digitālās attīstības plāna izstrāde ir atbalstāmā darbība</w:t>
            </w:r>
            <w:r w:rsidR="00000000" w:rsidRPr="00000000" w:rsidDel="00000000">
              <w:rPr>
                <w:i w:val="1"/>
                <w:rtl w:val="0"/>
              </w:rPr>
              <w:t xml:space="preserve"> un attiecināmās izmaksas.</w:t>
            </w:r>
            <w:r w:rsidR="00000000" w:rsidRPr="00000000" w:rsidDel="00000000">
              <w:rPr>
                <w:rtl w:val="0"/>
              </w:rPr>
              <w:t xml:space="preserve">" Attiecīgi aicinām izvērtēt un, ja nepieciešams, precizēt projektu vai sniegt skaidrojumu, kurā noteikumu 14. punktā paredzētajā atbalstāmajā darbībā ietilpst gala labuma guvēja digitālās attīstības plāna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08.05.2024.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08.05.2024.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